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370604" w14:textId="77777777" w:rsidR="00656FE6" w:rsidRDefault="00656FE6" w:rsidP="00807194">
      <w:pPr>
        <w:spacing w:after="0" w:line="480" w:lineRule="auto"/>
        <w:jc w:val="center"/>
        <w:rPr>
          <w:rFonts w:ascii="Times New Roman" w:hAnsi="Times New Roman" w:cs="Times New Roman"/>
          <w:sz w:val="24"/>
          <w:szCs w:val="24"/>
        </w:rPr>
      </w:pPr>
    </w:p>
    <w:p w14:paraId="3A924FBE" w14:textId="77777777" w:rsidR="00656FE6" w:rsidRDefault="00656FE6" w:rsidP="00807194">
      <w:pPr>
        <w:spacing w:after="0" w:line="480" w:lineRule="auto"/>
        <w:jc w:val="center"/>
        <w:rPr>
          <w:rFonts w:ascii="Times New Roman" w:hAnsi="Times New Roman" w:cs="Times New Roman"/>
          <w:sz w:val="24"/>
          <w:szCs w:val="24"/>
        </w:rPr>
      </w:pPr>
    </w:p>
    <w:p w14:paraId="0C1731E7" w14:textId="77777777" w:rsidR="00656FE6" w:rsidRDefault="00656FE6" w:rsidP="00807194">
      <w:pPr>
        <w:spacing w:after="0" w:line="480" w:lineRule="auto"/>
        <w:jc w:val="center"/>
        <w:rPr>
          <w:rFonts w:ascii="Times New Roman" w:hAnsi="Times New Roman" w:cs="Times New Roman"/>
          <w:sz w:val="24"/>
          <w:szCs w:val="24"/>
        </w:rPr>
      </w:pPr>
    </w:p>
    <w:p w14:paraId="2E0DF65B" w14:textId="77777777" w:rsidR="00656FE6" w:rsidRDefault="00656FE6" w:rsidP="00807194">
      <w:pPr>
        <w:spacing w:after="0" w:line="480" w:lineRule="auto"/>
        <w:jc w:val="center"/>
        <w:rPr>
          <w:rFonts w:ascii="Times New Roman" w:hAnsi="Times New Roman" w:cs="Times New Roman"/>
          <w:sz w:val="24"/>
          <w:szCs w:val="24"/>
        </w:rPr>
      </w:pPr>
    </w:p>
    <w:p w14:paraId="61D651BA" w14:textId="77777777" w:rsidR="00656FE6" w:rsidRDefault="00656FE6" w:rsidP="00807194">
      <w:pPr>
        <w:spacing w:after="0" w:line="480" w:lineRule="auto"/>
        <w:jc w:val="center"/>
        <w:rPr>
          <w:rFonts w:ascii="Times New Roman" w:hAnsi="Times New Roman" w:cs="Times New Roman"/>
          <w:sz w:val="24"/>
          <w:szCs w:val="24"/>
        </w:rPr>
      </w:pPr>
    </w:p>
    <w:p w14:paraId="0258AED1" w14:textId="77777777" w:rsidR="00656FE6" w:rsidRDefault="00656FE6" w:rsidP="00807194">
      <w:pPr>
        <w:spacing w:after="0" w:line="480" w:lineRule="auto"/>
        <w:jc w:val="center"/>
        <w:rPr>
          <w:rFonts w:ascii="Times New Roman" w:hAnsi="Times New Roman" w:cs="Times New Roman"/>
          <w:sz w:val="24"/>
          <w:szCs w:val="24"/>
        </w:rPr>
      </w:pPr>
    </w:p>
    <w:p w14:paraId="22AFC9F6" w14:textId="77777777" w:rsidR="00656FE6" w:rsidRDefault="00656FE6" w:rsidP="00807194">
      <w:pPr>
        <w:spacing w:after="0" w:line="480" w:lineRule="auto"/>
        <w:jc w:val="center"/>
        <w:rPr>
          <w:rFonts w:ascii="Times New Roman" w:hAnsi="Times New Roman" w:cs="Times New Roman"/>
          <w:sz w:val="24"/>
          <w:szCs w:val="24"/>
        </w:rPr>
      </w:pPr>
    </w:p>
    <w:p w14:paraId="5262AC5B" w14:textId="77777777" w:rsidR="00656FE6" w:rsidRDefault="00656FE6" w:rsidP="00807194">
      <w:pPr>
        <w:spacing w:after="0" w:line="480" w:lineRule="auto"/>
        <w:jc w:val="center"/>
        <w:rPr>
          <w:rFonts w:ascii="Times New Roman" w:hAnsi="Times New Roman" w:cs="Times New Roman"/>
          <w:sz w:val="24"/>
          <w:szCs w:val="24"/>
        </w:rPr>
      </w:pPr>
    </w:p>
    <w:p w14:paraId="3EBF8052" w14:textId="77777777" w:rsidR="00656FE6" w:rsidRDefault="00656FE6" w:rsidP="00807194">
      <w:pPr>
        <w:spacing w:after="0" w:line="480" w:lineRule="auto"/>
        <w:jc w:val="center"/>
        <w:rPr>
          <w:rFonts w:ascii="Times New Roman" w:hAnsi="Times New Roman" w:cs="Times New Roman"/>
          <w:sz w:val="24"/>
          <w:szCs w:val="24"/>
        </w:rPr>
      </w:pPr>
    </w:p>
    <w:p w14:paraId="64B86DA5" w14:textId="2E7AF96C" w:rsidR="00846354" w:rsidRPr="00807194" w:rsidRDefault="002438FB" w:rsidP="00807194">
      <w:pPr>
        <w:spacing w:after="0" w:line="480" w:lineRule="auto"/>
        <w:jc w:val="center"/>
        <w:rPr>
          <w:rFonts w:ascii="Times New Roman" w:hAnsi="Times New Roman" w:cs="Times New Roman"/>
          <w:sz w:val="24"/>
          <w:szCs w:val="24"/>
        </w:rPr>
      </w:pPr>
      <w:r w:rsidRPr="00807194">
        <w:rPr>
          <w:rFonts w:ascii="Times New Roman" w:hAnsi="Times New Roman" w:cs="Times New Roman"/>
          <w:sz w:val="24"/>
          <w:szCs w:val="24"/>
        </w:rPr>
        <w:t>An argument for the app</w:t>
      </w:r>
      <w:r w:rsidR="00857EDD">
        <w:rPr>
          <w:rFonts w:ascii="Times New Roman" w:hAnsi="Times New Roman" w:cs="Times New Roman"/>
          <w:sz w:val="24"/>
          <w:szCs w:val="24"/>
        </w:rPr>
        <w:t xml:space="preserve">lication for judicial review of </w:t>
      </w:r>
      <w:r w:rsidR="00C25237">
        <w:rPr>
          <w:rFonts w:ascii="Times New Roman" w:hAnsi="Times New Roman" w:cs="Times New Roman"/>
          <w:sz w:val="24"/>
          <w:szCs w:val="24"/>
        </w:rPr>
        <w:t xml:space="preserve">the Case of </w:t>
      </w:r>
      <w:r w:rsidRPr="00807194">
        <w:rPr>
          <w:rFonts w:ascii="Times New Roman" w:hAnsi="Times New Roman" w:cs="Times New Roman"/>
          <w:sz w:val="24"/>
          <w:szCs w:val="24"/>
        </w:rPr>
        <w:t>Joh</w:t>
      </w:r>
      <w:r w:rsidR="00C25237">
        <w:rPr>
          <w:rFonts w:ascii="Times New Roman" w:hAnsi="Times New Roman" w:cs="Times New Roman"/>
          <w:sz w:val="24"/>
          <w:szCs w:val="24"/>
        </w:rPr>
        <w:t>n</w:t>
      </w:r>
      <w:r w:rsidRPr="00807194">
        <w:rPr>
          <w:rFonts w:ascii="Times New Roman" w:hAnsi="Times New Roman" w:cs="Times New Roman"/>
          <w:sz w:val="24"/>
          <w:szCs w:val="24"/>
        </w:rPr>
        <w:t>son V Westminister Magistrate Court</w:t>
      </w:r>
    </w:p>
    <w:p w14:paraId="12533D0B" w14:textId="151F77CA" w:rsidR="00846354" w:rsidRDefault="002438FB" w:rsidP="00807194">
      <w:pPr>
        <w:spacing w:after="0" w:line="480" w:lineRule="auto"/>
        <w:jc w:val="center"/>
        <w:rPr>
          <w:rFonts w:ascii="Times New Roman" w:hAnsi="Times New Roman" w:cs="Times New Roman"/>
          <w:sz w:val="24"/>
          <w:szCs w:val="24"/>
        </w:rPr>
      </w:pPr>
      <w:r w:rsidRPr="00807194">
        <w:rPr>
          <w:rFonts w:ascii="Times New Roman" w:hAnsi="Times New Roman" w:cs="Times New Roman"/>
          <w:sz w:val="24"/>
          <w:szCs w:val="24"/>
        </w:rPr>
        <w:t>(the claimant, Boris Johnson)</w:t>
      </w:r>
    </w:p>
    <w:p w14:paraId="73434CBB" w14:textId="77E3A5A8" w:rsidR="00656FE6" w:rsidRDefault="00656FE6" w:rsidP="00807194">
      <w:pPr>
        <w:spacing w:after="0" w:line="480" w:lineRule="auto"/>
        <w:jc w:val="center"/>
        <w:rPr>
          <w:rFonts w:ascii="Times New Roman" w:hAnsi="Times New Roman" w:cs="Times New Roman"/>
          <w:sz w:val="24"/>
          <w:szCs w:val="24"/>
        </w:rPr>
      </w:pPr>
    </w:p>
    <w:p w14:paraId="73570475" w14:textId="6C52E208" w:rsidR="00656FE6" w:rsidRDefault="00656FE6" w:rsidP="00807194">
      <w:pPr>
        <w:spacing w:after="0" w:line="480" w:lineRule="auto"/>
        <w:jc w:val="center"/>
        <w:rPr>
          <w:rFonts w:ascii="Times New Roman" w:hAnsi="Times New Roman" w:cs="Times New Roman"/>
          <w:sz w:val="24"/>
          <w:szCs w:val="24"/>
        </w:rPr>
      </w:pPr>
    </w:p>
    <w:p w14:paraId="42B62B8A" w14:textId="61B136DB" w:rsidR="00656FE6" w:rsidRDefault="00656FE6" w:rsidP="00807194">
      <w:pPr>
        <w:spacing w:after="0" w:line="480" w:lineRule="auto"/>
        <w:jc w:val="center"/>
        <w:rPr>
          <w:rFonts w:ascii="Times New Roman" w:hAnsi="Times New Roman" w:cs="Times New Roman"/>
          <w:sz w:val="24"/>
          <w:szCs w:val="24"/>
        </w:rPr>
      </w:pPr>
    </w:p>
    <w:p w14:paraId="669254B6" w14:textId="16C8AC33" w:rsidR="00656FE6" w:rsidRDefault="00656FE6" w:rsidP="00807194">
      <w:pPr>
        <w:spacing w:after="0" w:line="480" w:lineRule="auto"/>
        <w:jc w:val="center"/>
        <w:rPr>
          <w:rFonts w:ascii="Times New Roman" w:hAnsi="Times New Roman" w:cs="Times New Roman"/>
          <w:sz w:val="24"/>
          <w:szCs w:val="24"/>
        </w:rPr>
      </w:pPr>
    </w:p>
    <w:p w14:paraId="2B82F174" w14:textId="5975A935" w:rsidR="00656FE6" w:rsidRDefault="00656FE6" w:rsidP="00807194">
      <w:pPr>
        <w:spacing w:after="0" w:line="480" w:lineRule="auto"/>
        <w:jc w:val="center"/>
        <w:rPr>
          <w:rFonts w:ascii="Times New Roman" w:hAnsi="Times New Roman" w:cs="Times New Roman"/>
          <w:sz w:val="24"/>
          <w:szCs w:val="24"/>
        </w:rPr>
      </w:pPr>
    </w:p>
    <w:p w14:paraId="11E94DB1" w14:textId="3E56474F" w:rsidR="00656FE6" w:rsidRDefault="00656FE6" w:rsidP="00807194">
      <w:pPr>
        <w:spacing w:after="0" w:line="480" w:lineRule="auto"/>
        <w:jc w:val="center"/>
        <w:rPr>
          <w:rFonts w:ascii="Times New Roman" w:hAnsi="Times New Roman" w:cs="Times New Roman"/>
          <w:sz w:val="24"/>
          <w:szCs w:val="24"/>
        </w:rPr>
      </w:pPr>
    </w:p>
    <w:p w14:paraId="0EFA6A88" w14:textId="37D5AC2A" w:rsidR="00656FE6" w:rsidRDefault="00656FE6" w:rsidP="00807194">
      <w:pPr>
        <w:spacing w:after="0" w:line="480" w:lineRule="auto"/>
        <w:jc w:val="center"/>
        <w:rPr>
          <w:rFonts w:ascii="Times New Roman" w:hAnsi="Times New Roman" w:cs="Times New Roman"/>
          <w:sz w:val="24"/>
          <w:szCs w:val="24"/>
        </w:rPr>
      </w:pPr>
    </w:p>
    <w:p w14:paraId="6828B799" w14:textId="7D1857FF" w:rsidR="00656FE6" w:rsidRDefault="00656FE6" w:rsidP="00807194">
      <w:pPr>
        <w:spacing w:after="0" w:line="480" w:lineRule="auto"/>
        <w:jc w:val="center"/>
        <w:rPr>
          <w:rFonts w:ascii="Times New Roman" w:hAnsi="Times New Roman" w:cs="Times New Roman"/>
          <w:sz w:val="24"/>
          <w:szCs w:val="24"/>
        </w:rPr>
      </w:pPr>
    </w:p>
    <w:p w14:paraId="29F4D5A9" w14:textId="77777777" w:rsidR="00656FE6" w:rsidRPr="00807194" w:rsidRDefault="00656FE6" w:rsidP="00807194">
      <w:pPr>
        <w:spacing w:after="0" w:line="480" w:lineRule="auto"/>
        <w:jc w:val="center"/>
        <w:rPr>
          <w:rFonts w:ascii="Times New Roman" w:hAnsi="Times New Roman" w:cs="Times New Roman"/>
          <w:sz w:val="24"/>
          <w:szCs w:val="24"/>
        </w:rPr>
      </w:pPr>
    </w:p>
    <w:p w14:paraId="1E598A44" w14:textId="77777777" w:rsidR="00846354" w:rsidRPr="00807194" w:rsidRDefault="00846354" w:rsidP="00807194">
      <w:pPr>
        <w:spacing w:after="0" w:line="480" w:lineRule="auto"/>
        <w:jc w:val="center"/>
        <w:rPr>
          <w:rFonts w:ascii="Times New Roman" w:hAnsi="Times New Roman" w:cs="Times New Roman"/>
          <w:sz w:val="24"/>
          <w:szCs w:val="24"/>
        </w:rPr>
      </w:pPr>
    </w:p>
    <w:p w14:paraId="29589071" w14:textId="77777777" w:rsidR="00656FE6" w:rsidRDefault="00656FE6" w:rsidP="00807194">
      <w:pPr>
        <w:spacing w:after="0" w:line="480" w:lineRule="auto"/>
        <w:rPr>
          <w:rFonts w:ascii="Times New Roman" w:hAnsi="Times New Roman" w:cs="Times New Roman"/>
          <w:sz w:val="24"/>
          <w:szCs w:val="24"/>
        </w:rPr>
      </w:pPr>
    </w:p>
    <w:p w14:paraId="1386A237" w14:textId="2F09E30F" w:rsidR="00656FE6" w:rsidRDefault="00656FE6" w:rsidP="00807194">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Introduction </w:t>
      </w:r>
    </w:p>
    <w:p w14:paraId="6C1A202D" w14:textId="147CD1BB" w:rsidR="00EF61DF" w:rsidRPr="00807194" w:rsidRDefault="002438FB" w:rsidP="00807194">
      <w:pPr>
        <w:spacing w:after="0" w:line="480" w:lineRule="auto"/>
        <w:rPr>
          <w:rFonts w:ascii="Times New Roman" w:hAnsi="Times New Roman" w:cs="Times New Roman"/>
          <w:sz w:val="24"/>
          <w:szCs w:val="24"/>
        </w:rPr>
      </w:pPr>
      <w:r w:rsidRPr="00807194">
        <w:rPr>
          <w:rFonts w:ascii="Times New Roman" w:hAnsi="Times New Roman" w:cs="Times New Roman"/>
          <w:sz w:val="24"/>
          <w:szCs w:val="24"/>
        </w:rPr>
        <w:t xml:space="preserve">Mr. Boris Johnson, Prime Minister of the UK, is making an application for judicial review. The District Judge issued summons against Boris Johnson to answer to allegations of misconduct in public office.  The Charge is that </w:t>
      </w:r>
      <w:r w:rsidR="00E84276" w:rsidRPr="00807194">
        <w:rPr>
          <w:rFonts w:ascii="Times New Roman" w:hAnsi="Times New Roman" w:cs="Times New Roman"/>
          <w:sz w:val="24"/>
          <w:szCs w:val="24"/>
        </w:rPr>
        <w:t>the</w:t>
      </w:r>
      <w:r w:rsidRPr="00807194">
        <w:rPr>
          <w:rFonts w:ascii="Times New Roman" w:hAnsi="Times New Roman" w:cs="Times New Roman"/>
          <w:sz w:val="24"/>
          <w:szCs w:val="24"/>
        </w:rPr>
        <w:t xml:space="preserve"> prime minister made misleading statements, consequently </w:t>
      </w:r>
      <w:r w:rsidR="00E84276" w:rsidRPr="00807194">
        <w:rPr>
          <w:rFonts w:ascii="Times New Roman" w:hAnsi="Times New Roman" w:cs="Times New Roman"/>
          <w:sz w:val="24"/>
          <w:szCs w:val="24"/>
        </w:rPr>
        <w:t>committing</w:t>
      </w:r>
      <w:r w:rsidRPr="00807194">
        <w:rPr>
          <w:rFonts w:ascii="Times New Roman" w:hAnsi="Times New Roman" w:cs="Times New Roman"/>
          <w:sz w:val="24"/>
          <w:szCs w:val="24"/>
        </w:rPr>
        <w:t xml:space="preserve"> a criminal</w:t>
      </w:r>
      <w:r w:rsidR="00E84276" w:rsidRPr="00807194">
        <w:rPr>
          <w:rFonts w:ascii="Times New Roman" w:hAnsi="Times New Roman" w:cs="Times New Roman"/>
          <w:sz w:val="24"/>
          <w:szCs w:val="24"/>
        </w:rPr>
        <w:t xml:space="preserve"> offense.</w:t>
      </w:r>
      <w:r w:rsidR="00B14A6D" w:rsidRPr="00807194">
        <w:rPr>
          <w:rFonts w:ascii="Times New Roman" w:hAnsi="Times New Roman" w:cs="Times New Roman"/>
          <w:sz w:val="24"/>
          <w:szCs w:val="24"/>
        </w:rPr>
        <w:t xml:space="preserve"> </w:t>
      </w:r>
      <w:r w:rsidR="00E251E1">
        <w:rPr>
          <w:rStyle w:val="Strong"/>
          <w:rFonts w:ascii="Times New Roman" w:hAnsi="Times New Roman" w:cs="Times New Roman"/>
          <w:b w:val="0"/>
          <w:sz w:val="24"/>
          <w:szCs w:val="24"/>
        </w:rPr>
        <w:t>The three charges asserted</w:t>
      </w:r>
      <w:r w:rsidR="00B14A6D" w:rsidRPr="00807194">
        <w:rPr>
          <w:rStyle w:val="Strong"/>
          <w:rFonts w:ascii="Times New Roman" w:hAnsi="Times New Roman" w:cs="Times New Roman"/>
          <w:b w:val="0"/>
          <w:sz w:val="24"/>
          <w:szCs w:val="24"/>
        </w:rPr>
        <w:t xml:space="preserve"> wrongdoing in public office, </w:t>
      </w:r>
      <w:r w:rsidR="00DB4FC6" w:rsidRPr="00807194">
        <w:rPr>
          <w:rStyle w:val="Strong"/>
          <w:rFonts w:ascii="Times New Roman" w:hAnsi="Times New Roman" w:cs="Times New Roman"/>
          <w:b w:val="0"/>
          <w:sz w:val="24"/>
          <w:szCs w:val="24"/>
        </w:rPr>
        <w:t>centered</w:t>
      </w:r>
      <w:r w:rsidR="00B14A6D" w:rsidRPr="00807194">
        <w:rPr>
          <w:rStyle w:val="Strong"/>
          <w:rFonts w:ascii="Times New Roman" w:hAnsi="Times New Roman" w:cs="Times New Roman"/>
          <w:b w:val="0"/>
          <w:sz w:val="24"/>
          <w:szCs w:val="24"/>
        </w:rPr>
        <w:t xml:space="preserve"> on the contention that the UK was sending £350 million a</w:t>
      </w:r>
      <w:r w:rsidR="00644242">
        <w:rPr>
          <w:rStyle w:val="Strong"/>
          <w:rFonts w:ascii="Times New Roman" w:hAnsi="Times New Roman" w:cs="Times New Roman"/>
          <w:b w:val="0"/>
          <w:sz w:val="24"/>
          <w:szCs w:val="24"/>
        </w:rPr>
        <w:t xml:space="preserve"> week to the EU. The prosecuting party’s</w:t>
      </w:r>
      <w:r w:rsidR="002F57AA">
        <w:rPr>
          <w:rStyle w:val="Strong"/>
          <w:rFonts w:ascii="Times New Roman" w:hAnsi="Times New Roman" w:cs="Times New Roman"/>
          <w:b w:val="0"/>
          <w:sz w:val="24"/>
          <w:szCs w:val="24"/>
        </w:rPr>
        <w:t xml:space="preserve"> discord was that Boris</w:t>
      </w:r>
      <w:r w:rsidR="00B14A6D" w:rsidRPr="00807194">
        <w:rPr>
          <w:rStyle w:val="Strong"/>
          <w:rFonts w:ascii="Times New Roman" w:hAnsi="Times New Roman" w:cs="Times New Roman"/>
          <w:b w:val="0"/>
          <w:sz w:val="24"/>
          <w:szCs w:val="24"/>
        </w:rPr>
        <w:t xml:space="preserve"> Johnson several times</w:t>
      </w:r>
      <w:r w:rsidR="00DB4FC6" w:rsidRPr="00807194">
        <w:rPr>
          <w:rStyle w:val="Strong"/>
          <w:rFonts w:ascii="Times New Roman" w:hAnsi="Times New Roman" w:cs="Times New Roman"/>
          <w:b w:val="0"/>
          <w:sz w:val="24"/>
          <w:szCs w:val="24"/>
        </w:rPr>
        <w:t xml:space="preserve"> misguided </w:t>
      </w:r>
      <w:r w:rsidR="00B14A6D" w:rsidRPr="00807194">
        <w:rPr>
          <w:rStyle w:val="Strong"/>
          <w:rFonts w:ascii="Times New Roman" w:hAnsi="Times New Roman" w:cs="Times New Roman"/>
          <w:b w:val="0"/>
          <w:sz w:val="24"/>
          <w:szCs w:val="24"/>
        </w:rPr>
        <w:t xml:space="preserve">the </w:t>
      </w:r>
      <w:r w:rsidR="00DB4FC6" w:rsidRPr="00807194">
        <w:rPr>
          <w:rStyle w:val="Strong"/>
          <w:rFonts w:ascii="Times New Roman" w:hAnsi="Times New Roman" w:cs="Times New Roman"/>
          <w:b w:val="0"/>
          <w:sz w:val="24"/>
          <w:szCs w:val="24"/>
        </w:rPr>
        <w:t xml:space="preserve">public regarding </w:t>
      </w:r>
      <w:r w:rsidR="002F57AA">
        <w:rPr>
          <w:rStyle w:val="Strong"/>
          <w:rFonts w:ascii="Times New Roman" w:hAnsi="Times New Roman" w:cs="Times New Roman"/>
          <w:b w:val="0"/>
          <w:sz w:val="24"/>
          <w:szCs w:val="24"/>
        </w:rPr>
        <w:t>the price</w:t>
      </w:r>
      <w:r w:rsidR="00B14A6D" w:rsidRPr="00807194">
        <w:rPr>
          <w:rStyle w:val="Strong"/>
          <w:rFonts w:ascii="Times New Roman" w:hAnsi="Times New Roman" w:cs="Times New Roman"/>
          <w:b w:val="0"/>
          <w:sz w:val="24"/>
          <w:szCs w:val="24"/>
        </w:rPr>
        <w:t xml:space="preserve"> of EU membership.</w:t>
      </w:r>
      <w:r w:rsidR="00E84276" w:rsidRPr="00807194">
        <w:rPr>
          <w:rFonts w:ascii="Times New Roman" w:hAnsi="Times New Roman" w:cs="Times New Roman"/>
          <w:b/>
          <w:sz w:val="24"/>
          <w:szCs w:val="24"/>
        </w:rPr>
        <w:t xml:space="preserve"> </w:t>
      </w:r>
      <w:r w:rsidR="000B47C1" w:rsidRPr="00807194">
        <w:rPr>
          <w:rFonts w:ascii="Times New Roman" w:hAnsi="Times New Roman" w:cs="Times New Roman"/>
          <w:sz w:val="24"/>
          <w:szCs w:val="24"/>
        </w:rPr>
        <w:t>This article will proceed to discuss and examine the allegations made against the foregoing and advance a compelling legal argument for the claimant.</w:t>
      </w:r>
      <w:r w:rsidRPr="00807194">
        <w:rPr>
          <w:rFonts w:ascii="Times New Roman" w:hAnsi="Times New Roman" w:cs="Times New Roman"/>
          <w:sz w:val="24"/>
          <w:szCs w:val="24"/>
        </w:rPr>
        <w:t xml:space="preserve"> Further, this essay will give an in-depth analysis of the </w:t>
      </w:r>
      <w:r w:rsidR="00B14A6D" w:rsidRPr="00807194">
        <w:rPr>
          <w:rFonts w:ascii="Times New Roman" w:hAnsi="Times New Roman" w:cs="Times New Roman"/>
          <w:sz w:val="24"/>
          <w:szCs w:val="24"/>
        </w:rPr>
        <w:t>Magistrate's</w:t>
      </w:r>
      <w:r w:rsidRPr="00807194">
        <w:rPr>
          <w:rFonts w:ascii="Times New Roman" w:hAnsi="Times New Roman" w:cs="Times New Roman"/>
          <w:sz w:val="24"/>
          <w:szCs w:val="24"/>
        </w:rPr>
        <w:t xml:space="preserve"> court logical assertion and address its juxtaposition within written law and case law. </w:t>
      </w:r>
    </w:p>
    <w:p w14:paraId="41515782" w14:textId="77777777" w:rsidR="00B14A6D" w:rsidRPr="00807194" w:rsidRDefault="002438FB" w:rsidP="00807194">
      <w:pPr>
        <w:spacing w:after="0" w:line="480" w:lineRule="auto"/>
        <w:rPr>
          <w:rFonts w:ascii="Times New Roman" w:hAnsi="Times New Roman" w:cs="Times New Roman"/>
          <w:sz w:val="24"/>
          <w:szCs w:val="24"/>
        </w:rPr>
      </w:pPr>
      <w:r w:rsidRPr="00807194">
        <w:rPr>
          <w:rFonts w:ascii="Times New Roman" w:hAnsi="Times New Roman" w:cs="Times New Roman"/>
          <w:sz w:val="24"/>
          <w:szCs w:val="24"/>
        </w:rPr>
        <w:t>Case facts</w:t>
      </w:r>
    </w:p>
    <w:p w14:paraId="6896E520" w14:textId="77777777" w:rsidR="00CE6B0B" w:rsidRPr="00807194" w:rsidRDefault="002438FB" w:rsidP="00807194">
      <w:pPr>
        <w:spacing w:after="0" w:line="480" w:lineRule="auto"/>
        <w:rPr>
          <w:rFonts w:ascii="Times New Roman" w:hAnsi="Times New Roman" w:cs="Times New Roman"/>
          <w:sz w:val="24"/>
          <w:szCs w:val="24"/>
        </w:rPr>
      </w:pPr>
      <w:r w:rsidRPr="00807194">
        <w:rPr>
          <w:rFonts w:ascii="Times New Roman" w:hAnsi="Times New Roman" w:cs="Times New Roman"/>
          <w:sz w:val="24"/>
          <w:szCs w:val="24"/>
        </w:rPr>
        <w:t xml:space="preserve">The case was filed on 20 February 2019. One Boris Johnson, who is The British Prime Minister, was accused </w:t>
      </w:r>
      <w:r w:rsidR="005A00C4" w:rsidRPr="00807194">
        <w:rPr>
          <w:rFonts w:ascii="Times New Roman" w:hAnsi="Times New Roman" w:cs="Times New Roman"/>
          <w:sz w:val="24"/>
          <w:szCs w:val="24"/>
        </w:rPr>
        <w:t xml:space="preserve">of breaching expected public office conduct. The charges were is threefold, all </w:t>
      </w:r>
      <w:r w:rsidR="00E3044D" w:rsidRPr="00807194">
        <w:rPr>
          <w:rFonts w:ascii="Times New Roman" w:hAnsi="Times New Roman" w:cs="Times New Roman"/>
          <w:sz w:val="24"/>
          <w:szCs w:val="24"/>
        </w:rPr>
        <w:t>centered</w:t>
      </w:r>
      <w:r w:rsidR="005A00C4" w:rsidRPr="00807194">
        <w:rPr>
          <w:rFonts w:ascii="Times New Roman" w:hAnsi="Times New Roman" w:cs="Times New Roman"/>
          <w:sz w:val="24"/>
          <w:szCs w:val="24"/>
        </w:rPr>
        <w:t xml:space="preserve"> </w:t>
      </w:r>
      <w:r w:rsidR="00E3044D" w:rsidRPr="00807194">
        <w:rPr>
          <w:rFonts w:ascii="Times New Roman" w:hAnsi="Times New Roman" w:cs="Times New Roman"/>
          <w:sz w:val="24"/>
          <w:szCs w:val="24"/>
        </w:rPr>
        <w:t>on</w:t>
      </w:r>
      <w:r w:rsidR="005A00C4" w:rsidRPr="00807194">
        <w:rPr>
          <w:rFonts w:ascii="Times New Roman" w:hAnsi="Times New Roman" w:cs="Times New Roman"/>
          <w:sz w:val="24"/>
          <w:szCs w:val="24"/>
        </w:rPr>
        <w:t xml:space="preserve"> the offense of misconduct in public office by </w:t>
      </w:r>
      <w:r w:rsidR="00E3044D" w:rsidRPr="00807194">
        <w:rPr>
          <w:rFonts w:ascii="Times New Roman" w:hAnsi="Times New Roman" w:cs="Times New Roman"/>
          <w:sz w:val="24"/>
          <w:szCs w:val="24"/>
        </w:rPr>
        <w:t>negligently</w:t>
      </w:r>
      <w:r w:rsidR="005A00C4" w:rsidRPr="00807194">
        <w:rPr>
          <w:rFonts w:ascii="Times New Roman" w:hAnsi="Times New Roman" w:cs="Times New Roman"/>
          <w:sz w:val="24"/>
          <w:szCs w:val="24"/>
        </w:rPr>
        <w:t xml:space="preserve"> making grossly inaccurate statements. The </w:t>
      </w:r>
      <w:r w:rsidR="00E3044D" w:rsidRPr="00807194">
        <w:rPr>
          <w:rFonts w:ascii="Times New Roman" w:hAnsi="Times New Roman" w:cs="Times New Roman"/>
          <w:sz w:val="24"/>
          <w:szCs w:val="24"/>
        </w:rPr>
        <w:t>aforementioned</w:t>
      </w:r>
      <w:r w:rsidR="005A00C4" w:rsidRPr="00807194">
        <w:rPr>
          <w:rFonts w:ascii="Times New Roman" w:hAnsi="Times New Roman" w:cs="Times New Roman"/>
          <w:sz w:val="24"/>
          <w:szCs w:val="24"/>
        </w:rPr>
        <w:t xml:space="preserve"> claims included;</w:t>
      </w:r>
    </w:p>
    <w:p w14:paraId="7FE0E0BA" w14:textId="77777777" w:rsidR="00785AC1" w:rsidRPr="00807194" w:rsidRDefault="002438FB" w:rsidP="00807194">
      <w:pPr>
        <w:pStyle w:val="ListParagraph"/>
        <w:numPr>
          <w:ilvl w:val="0"/>
          <w:numId w:val="1"/>
        </w:numPr>
        <w:spacing w:after="0" w:line="480" w:lineRule="auto"/>
        <w:rPr>
          <w:rFonts w:ascii="Times New Roman" w:hAnsi="Times New Roman" w:cs="Times New Roman"/>
          <w:sz w:val="24"/>
          <w:szCs w:val="24"/>
        </w:rPr>
      </w:pPr>
      <w:r w:rsidRPr="00807194">
        <w:rPr>
          <w:rFonts w:ascii="Times New Roman" w:hAnsi="Times New Roman" w:cs="Times New Roman"/>
          <w:sz w:val="24"/>
          <w:szCs w:val="24"/>
        </w:rPr>
        <w:t>That between 21 February 2016 and 23</w:t>
      </w:r>
      <w:r w:rsidR="005A00C4" w:rsidRPr="00807194">
        <w:rPr>
          <w:rFonts w:ascii="Times New Roman" w:hAnsi="Times New Roman" w:cs="Times New Roman"/>
          <w:sz w:val="24"/>
          <w:szCs w:val="24"/>
        </w:rPr>
        <w:t xml:space="preserve"> June 2016, </w:t>
      </w:r>
      <w:r w:rsidRPr="00807194">
        <w:rPr>
          <w:rFonts w:ascii="Times New Roman" w:hAnsi="Times New Roman" w:cs="Times New Roman"/>
          <w:sz w:val="24"/>
          <w:szCs w:val="24"/>
        </w:rPr>
        <w:t>a member of parliament</w:t>
      </w:r>
      <w:r w:rsidR="005A00C4" w:rsidRPr="00807194">
        <w:rPr>
          <w:rFonts w:ascii="Times New Roman" w:hAnsi="Times New Roman" w:cs="Times New Roman"/>
          <w:sz w:val="24"/>
          <w:szCs w:val="24"/>
        </w:rPr>
        <w:t xml:space="preserve"> in office and in due course of </w:t>
      </w:r>
      <w:r w:rsidRPr="00807194">
        <w:rPr>
          <w:rFonts w:ascii="Times New Roman" w:hAnsi="Times New Roman" w:cs="Times New Roman"/>
          <w:sz w:val="24"/>
          <w:szCs w:val="24"/>
        </w:rPr>
        <w:t xml:space="preserve">performing the roles accustomed to his office purposely </w:t>
      </w:r>
      <w:r w:rsidR="00E3044D" w:rsidRPr="00807194">
        <w:rPr>
          <w:rFonts w:ascii="Times New Roman" w:hAnsi="Times New Roman" w:cs="Times New Roman"/>
          <w:sz w:val="24"/>
          <w:szCs w:val="24"/>
        </w:rPr>
        <w:t>disregarded his</w:t>
      </w:r>
      <w:r w:rsidRPr="00807194">
        <w:rPr>
          <w:rFonts w:ascii="Times New Roman" w:hAnsi="Times New Roman" w:cs="Times New Roman"/>
          <w:sz w:val="24"/>
          <w:szCs w:val="24"/>
        </w:rPr>
        <w:t xml:space="preserve"> obligation. The preceding was interpreted to be </w:t>
      </w:r>
      <w:r w:rsidR="00E3044D" w:rsidRPr="00807194">
        <w:rPr>
          <w:rFonts w:ascii="Times New Roman" w:hAnsi="Times New Roman" w:cs="Times New Roman"/>
          <w:sz w:val="24"/>
          <w:szCs w:val="24"/>
        </w:rPr>
        <w:t>misconduct</w:t>
      </w:r>
      <w:r w:rsidRPr="00807194">
        <w:rPr>
          <w:rFonts w:ascii="Times New Roman" w:hAnsi="Times New Roman" w:cs="Times New Roman"/>
          <w:sz w:val="24"/>
          <w:szCs w:val="24"/>
        </w:rPr>
        <w:t xml:space="preserve"> while asserting unfounded remarks as to the costs of European Union Membership. The Magistrate court considered this an abuse of the entrusted public duty of his office. </w:t>
      </w:r>
      <w:r>
        <w:rPr>
          <w:rStyle w:val="FootnoteReference"/>
          <w:rFonts w:ascii="Times New Roman" w:hAnsi="Times New Roman" w:cs="Times New Roman"/>
          <w:sz w:val="24"/>
          <w:szCs w:val="24"/>
        </w:rPr>
        <w:footnoteReference w:id="1"/>
      </w:r>
    </w:p>
    <w:p w14:paraId="711A332F" w14:textId="77777777" w:rsidR="00C22353" w:rsidRPr="00807194" w:rsidRDefault="002438FB" w:rsidP="00807194">
      <w:pPr>
        <w:pStyle w:val="ListParagraph"/>
        <w:numPr>
          <w:ilvl w:val="0"/>
          <w:numId w:val="1"/>
        </w:numPr>
        <w:spacing w:after="0" w:line="480" w:lineRule="auto"/>
        <w:rPr>
          <w:rFonts w:ascii="Times New Roman" w:hAnsi="Times New Roman" w:cs="Times New Roman"/>
          <w:sz w:val="24"/>
          <w:szCs w:val="24"/>
        </w:rPr>
      </w:pPr>
      <w:r w:rsidRPr="00807194">
        <w:rPr>
          <w:rFonts w:ascii="Times New Roman" w:hAnsi="Times New Roman" w:cs="Times New Roman"/>
          <w:sz w:val="24"/>
          <w:szCs w:val="24"/>
        </w:rPr>
        <w:lastRenderedPageBreak/>
        <w:t>That between 21</w:t>
      </w:r>
      <w:r w:rsidR="00785AC1" w:rsidRPr="00807194">
        <w:rPr>
          <w:rFonts w:ascii="Times New Roman" w:hAnsi="Times New Roman" w:cs="Times New Roman"/>
          <w:sz w:val="24"/>
          <w:szCs w:val="24"/>
        </w:rPr>
        <w:t xml:space="preserve"> February and 8 M</w:t>
      </w:r>
      <w:r w:rsidRPr="00807194">
        <w:rPr>
          <w:rFonts w:ascii="Times New Roman" w:hAnsi="Times New Roman" w:cs="Times New Roman"/>
          <w:sz w:val="24"/>
          <w:szCs w:val="24"/>
        </w:rPr>
        <w:t xml:space="preserve">ay 2016, while acting as a holder of public office, the mayor of London, Johnson, </w:t>
      </w:r>
      <w:r w:rsidR="00785AC1" w:rsidRPr="00807194">
        <w:rPr>
          <w:rFonts w:ascii="Times New Roman" w:hAnsi="Times New Roman" w:cs="Times New Roman"/>
          <w:sz w:val="24"/>
          <w:szCs w:val="24"/>
        </w:rPr>
        <w:t>cla</w:t>
      </w:r>
      <w:r w:rsidR="00E3044D" w:rsidRPr="00807194">
        <w:rPr>
          <w:rFonts w:ascii="Times New Roman" w:hAnsi="Times New Roman" w:cs="Times New Roman"/>
          <w:sz w:val="24"/>
          <w:szCs w:val="24"/>
        </w:rPr>
        <w:t xml:space="preserve">imant intentionally overlooked </w:t>
      </w:r>
      <w:r w:rsidR="00785AC1" w:rsidRPr="00807194">
        <w:rPr>
          <w:rFonts w:ascii="Times New Roman" w:hAnsi="Times New Roman" w:cs="Times New Roman"/>
          <w:sz w:val="24"/>
          <w:szCs w:val="24"/>
        </w:rPr>
        <w:t>his expected duty</w:t>
      </w:r>
      <w:r w:rsidRPr="00807194">
        <w:rPr>
          <w:rFonts w:ascii="Times New Roman" w:hAnsi="Times New Roman" w:cs="Times New Roman"/>
          <w:sz w:val="24"/>
          <w:szCs w:val="24"/>
        </w:rPr>
        <w:t xml:space="preserve"> as well as deliberately engrossed himself in asserting unfounded remarks as to the costs of European Union Membership. The Magistrate court considered this an abuse of the entrusted public duty of his office.</w:t>
      </w:r>
      <w:r>
        <w:rPr>
          <w:rStyle w:val="FootnoteReference"/>
          <w:rFonts w:ascii="Times New Roman" w:hAnsi="Times New Roman" w:cs="Times New Roman"/>
          <w:sz w:val="24"/>
          <w:szCs w:val="24"/>
        </w:rPr>
        <w:footnoteReference w:id="2"/>
      </w:r>
    </w:p>
    <w:p w14:paraId="152A7668" w14:textId="77777777" w:rsidR="00C22353" w:rsidRPr="00807194" w:rsidRDefault="002438FB" w:rsidP="00807194">
      <w:pPr>
        <w:pStyle w:val="ListParagraph"/>
        <w:numPr>
          <w:ilvl w:val="0"/>
          <w:numId w:val="1"/>
        </w:numPr>
        <w:spacing w:after="0" w:line="480" w:lineRule="auto"/>
        <w:rPr>
          <w:rFonts w:ascii="Times New Roman" w:hAnsi="Times New Roman" w:cs="Times New Roman"/>
          <w:sz w:val="24"/>
          <w:szCs w:val="24"/>
        </w:rPr>
      </w:pPr>
      <w:r w:rsidRPr="00807194">
        <w:rPr>
          <w:rFonts w:ascii="Times New Roman" w:hAnsi="Times New Roman" w:cs="Times New Roman"/>
          <w:sz w:val="24"/>
          <w:szCs w:val="24"/>
        </w:rPr>
        <w:t>A period between 18 April 2017 and 3 May 2017 while acting as a public office holder in the office of Member of Parliament and while working in that context, Mr. Boris Johnson, willfully neglected his duty and deliberately engrossed himself in asserting unfounded remarks as to the costs of European Union Membership. The Magistrate court considered this an abuse of the entrusted public responsibility of his office.</w:t>
      </w:r>
      <w:r>
        <w:rPr>
          <w:rStyle w:val="FootnoteReference"/>
          <w:rFonts w:ascii="Times New Roman" w:hAnsi="Times New Roman" w:cs="Times New Roman"/>
          <w:sz w:val="24"/>
          <w:szCs w:val="24"/>
        </w:rPr>
        <w:footnoteReference w:id="3"/>
      </w:r>
    </w:p>
    <w:p w14:paraId="190D2FA7" w14:textId="77777777" w:rsidR="005B4CB1" w:rsidRPr="00807194" w:rsidRDefault="005B4CB1" w:rsidP="00807194">
      <w:pPr>
        <w:spacing w:after="0" w:line="480" w:lineRule="auto"/>
        <w:rPr>
          <w:rFonts w:ascii="Times New Roman" w:hAnsi="Times New Roman" w:cs="Times New Roman"/>
          <w:sz w:val="24"/>
          <w:szCs w:val="24"/>
        </w:rPr>
      </w:pPr>
    </w:p>
    <w:p w14:paraId="29E9D22A" w14:textId="77777777" w:rsidR="00B14A6D" w:rsidRDefault="002438FB" w:rsidP="00807194">
      <w:pPr>
        <w:spacing w:after="0" w:line="480" w:lineRule="auto"/>
        <w:rPr>
          <w:rFonts w:ascii="Times New Roman" w:hAnsi="Times New Roman" w:cs="Times New Roman"/>
          <w:sz w:val="24"/>
          <w:szCs w:val="24"/>
        </w:rPr>
      </w:pPr>
      <w:r w:rsidRPr="00807194">
        <w:rPr>
          <w:rFonts w:ascii="Times New Roman" w:hAnsi="Times New Roman" w:cs="Times New Roman"/>
          <w:sz w:val="24"/>
          <w:szCs w:val="24"/>
        </w:rPr>
        <w:t>Misconduct in public office defined.</w:t>
      </w:r>
    </w:p>
    <w:p w14:paraId="0A306D74" w14:textId="77777777" w:rsidR="008944E3" w:rsidRDefault="002438FB" w:rsidP="00976F92">
      <w:pPr>
        <w:spacing w:after="0" w:line="480" w:lineRule="auto"/>
        <w:rPr>
          <w:rFonts w:ascii="Times New Roman" w:hAnsi="Times New Roman" w:cs="Times New Roman"/>
          <w:sz w:val="24"/>
          <w:szCs w:val="24"/>
        </w:rPr>
      </w:pPr>
      <w:r>
        <w:rPr>
          <w:rFonts w:ascii="Times New Roman" w:hAnsi="Times New Roman" w:cs="Times New Roman"/>
          <w:sz w:val="24"/>
          <w:szCs w:val="24"/>
        </w:rPr>
        <w:t>The disposition of petitions for summons is governed by the determination</w:t>
      </w:r>
      <w:r w:rsidR="00853F44">
        <w:rPr>
          <w:rFonts w:ascii="Times New Roman" w:hAnsi="Times New Roman" w:cs="Times New Roman"/>
          <w:sz w:val="24"/>
          <w:szCs w:val="24"/>
        </w:rPr>
        <w:t xml:space="preserve"> of the legal position of the deposed offense.  To that end</w:t>
      </w:r>
      <w:r w:rsidR="00976F92" w:rsidRPr="00D63FD0">
        <w:rPr>
          <w:rFonts w:ascii="Times New Roman" w:hAnsi="Times New Roman" w:cs="Times New Roman"/>
          <w:sz w:val="24"/>
          <w:szCs w:val="24"/>
        </w:rPr>
        <w:t xml:space="preserve">, </w:t>
      </w:r>
      <w:r w:rsidR="00853F44">
        <w:rPr>
          <w:rFonts w:ascii="Times New Roman" w:hAnsi="Times New Roman" w:cs="Times New Roman"/>
          <w:sz w:val="24"/>
          <w:szCs w:val="24"/>
        </w:rPr>
        <w:t xml:space="preserve">it is </w:t>
      </w:r>
      <w:r w:rsidR="009D1562">
        <w:rPr>
          <w:rFonts w:ascii="Times New Roman" w:hAnsi="Times New Roman" w:cs="Times New Roman"/>
          <w:sz w:val="24"/>
          <w:szCs w:val="24"/>
        </w:rPr>
        <w:t>important to</w:t>
      </w:r>
      <w:r w:rsidR="00853F44">
        <w:rPr>
          <w:rFonts w:ascii="Times New Roman" w:hAnsi="Times New Roman" w:cs="Times New Roman"/>
          <w:sz w:val="24"/>
          <w:szCs w:val="24"/>
        </w:rPr>
        <w:t xml:space="preserve"> </w:t>
      </w:r>
      <w:r w:rsidR="009D1562">
        <w:rPr>
          <w:rFonts w:ascii="Times New Roman" w:hAnsi="Times New Roman" w:cs="Times New Roman"/>
          <w:sz w:val="24"/>
          <w:szCs w:val="24"/>
        </w:rPr>
        <w:t>examine</w:t>
      </w:r>
      <w:r w:rsidR="00853F44">
        <w:rPr>
          <w:rFonts w:ascii="Times New Roman" w:hAnsi="Times New Roman" w:cs="Times New Roman"/>
          <w:sz w:val="24"/>
          <w:szCs w:val="24"/>
        </w:rPr>
        <w:t xml:space="preserve"> the details of each asserted grievance</w:t>
      </w:r>
      <w:r w:rsidR="006D7F5A">
        <w:rPr>
          <w:rFonts w:ascii="Times New Roman" w:hAnsi="Times New Roman" w:cs="Times New Roman"/>
          <w:sz w:val="24"/>
          <w:szCs w:val="24"/>
        </w:rPr>
        <w:t xml:space="preserve"> to discern whether </w:t>
      </w:r>
      <w:r w:rsidR="005523D4">
        <w:rPr>
          <w:rFonts w:ascii="Times New Roman" w:hAnsi="Times New Roman" w:cs="Times New Roman"/>
          <w:sz w:val="24"/>
          <w:szCs w:val="24"/>
        </w:rPr>
        <w:t>the important components</w:t>
      </w:r>
      <w:r w:rsidR="00976F92" w:rsidRPr="00D63FD0">
        <w:rPr>
          <w:rFonts w:ascii="Times New Roman" w:hAnsi="Times New Roman" w:cs="Times New Roman"/>
          <w:sz w:val="24"/>
          <w:szCs w:val="24"/>
        </w:rPr>
        <w:t xml:space="preserve"> of the offense are prima facie existent. The case of (</w:t>
      </w:r>
      <w:r w:rsidR="00976F92" w:rsidRPr="00D63FD0">
        <w:rPr>
          <w:rFonts w:ascii="Times New Roman" w:hAnsi="Times New Roman" w:cs="Times New Roman"/>
          <w:i/>
          <w:iCs/>
          <w:sz w:val="24"/>
          <w:szCs w:val="24"/>
        </w:rPr>
        <w:t xml:space="preserve">R (DPP) v Sunderland MC </w:t>
      </w:r>
      <w:r w:rsidR="00976F92" w:rsidRPr="00D63FD0">
        <w:rPr>
          <w:rFonts w:ascii="Times New Roman" w:hAnsi="Times New Roman" w:cs="Times New Roman"/>
          <w:sz w:val="24"/>
          <w:szCs w:val="24"/>
        </w:rPr>
        <w:t>[2014] EWHC 613 (Admin) (“</w:t>
      </w:r>
      <w:r w:rsidR="00976F92" w:rsidRPr="00D63FD0">
        <w:rPr>
          <w:rFonts w:ascii="Times New Roman" w:hAnsi="Times New Roman" w:cs="Times New Roman"/>
          <w:i/>
          <w:iCs/>
          <w:sz w:val="24"/>
          <w:szCs w:val="24"/>
        </w:rPr>
        <w:t>Sunderland</w:t>
      </w:r>
      <w:r w:rsidR="006D7F5A">
        <w:rPr>
          <w:rFonts w:ascii="Times New Roman" w:hAnsi="Times New Roman" w:cs="Times New Roman"/>
          <w:sz w:val="24"/>
          <w:szCs w:val="24"/>
        </w:rPr>
        <w:t>”)) shows a reciprocal</w:t>
      </w:r>
      <w:r w:rsidR="00976F92" w:rsidRPr="00D63FD0">
        <w:rPr>
          <w:rFonts w:ascii="Times New Roman" w:hAnsi="Times New Roman" w:cs="Times New Roman"/>
          <w:sz w:val="24"/>
          <w:szCs w:val="24"/>
        </w:rPr>
        <w:t xml:space="preserve"> i</w:t>
      </w:r>
      <w:r w:rsidR="006D7F5A">
        <w:rPr>
          <w:rFonts w:ascii="Times New Roman" w:hAnsi="Times New Roman" w:cs="Times New Roman"/>
          <w:sz w:val="24"/>
          <w:szCs w:val="24"/>
        </w:rPr>
        <w:t>nterpretation of the preceding approach</w:t>
      </w:r>
      <w:r w:rsidR="00976F92" w:rsidRPr="00D63FD0">
        <w:rPr>
          <w:rFonts w:ascii="Times New Roman" w:hAnsi="Times New Roman" w:cs="Times New Roman"/>
          <w:sz w:val="24"/>
          <w:szCs w:val="24"/>
        </w:rPr>
        <w:t xml:space="preserve">. </w:t>
      </w:r>
      <w:r w:rsidR="009D1562">
        <w:rPr>
          <w:rFonts w:ascii="Times New Roman" w:hAnsi="Times New Roman" w:cs="Times New Roman"/>
          <w:sz w:val="24"/>
          <w:szCs w:val="24"/>
        </w:rPr>
        <w:t xml:space="preserve">The legally established footing </w:t>
      </w:r>
      <w:r w:rsidR="009D1562" w:rsidRPr="00D63FD0">
        <w:rPr>
          <w:rFonts w:ascii="Times New Roman" w:hAnsi="Times New Roman" w:cs="Times New Roman"/>
          <w:sz w:val="24"/>
          <w:szCs w:val="24"/>
        </w:rPr>
        <w:t>for judicial review is</w:t>
      </w:r>
      <w:r w:rsidR="00976F92" w:rsidRPr="00D63FD0">
        <w:rPr>
          <w:rFonts w:ascii="Times New Roman" w:hAnsi="Times New Roman" w:cs="Times New Roman"/>
          <w:sz w:val="24"/>
          <w:szCs w:val="24"/>
        </w:rPr>
        <w:t xml:space="preserve"> illegality and ultra</w:t>
      </w:r>
      <w:r w:rsidR="009D1562">
        <w:rPr>
          <w:rFonts w:ascii="Times New Roman" w:hAnsi="Times New Roman" w:cs="Times New Roman"/>
          <w:sz w:val="24"/>
          <w:szCs w:val="24"/>
        </w:rPr>
        <w:t>-</w:t>
      </w:r>
      <w:r w:rsidR="00976F92" w:rsidRPr="00D63FD0">
        <w:rPr>
          <w:rFonts w:ascii="Times New Roman" w:hAnsi="Times New Roman" w:cs="Times New Roman"/>
          <w:sz w:val="24"/>
          <w:szCs w:val="24"/>
        </w:rPr>
        <w:t xml:space="preserve">vires of an administrative body. </w:t>
      </w:r>
      <w:r w:rsidR="00B90890">
        <w:rPr>
          <w:rFonts w:ascii="Times New Roman" w:hAnsi="Times New Roman" w:cs="Times New Roman"/>
          <w:sz w:val="24"/>
          <w:szCs w:val="24"/>
        </w:rPr>
        <w:t xml:space="preserve"> These rationales are employed either synchronously or separately, susceptible to the facts of each case. This particular case involves the accusations of gross misconduct of the prime minister.  </w:t>
      </w:r>
    </w:p>
    <w:p w14:paraId="7EE3A698" w14:textId="77777777" w:rsidR="008944E3" w:rsidRPr="00D63FD0" w:rsidRDefault="002438FB" w:rsidP="008944E3">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The four integral components</w:t>
      </w:r>
      <w:r w:rsidR="00E45CAE">
        <w:rPr>
          <w:rFonts w:ascii="Times New Roman" w:hAnsi="Times New Roman" w:cs="Times New Roman"/>
          <w:sz w:val="24"/>
          <w:szCs w:val="24"/>
        </w:rPr>
        <w:t xml:space="preserve"> of the</w:t>
      </w:r>
      <w:r w:rsidRPr="00D63FD0">
        <w:rPr>
          <w:rFonts w:ascii="Times New Roman" w:hAnsi="Times New Roman" w:cs="Times New Roman"/>
          <w:sz w:val="24"/>
          <w:szCs w:val="24"/>
        </w:rPr>
        <w:t xml:space="preserve"> offense of </w:t>
      </w:r>
      <w:r>
        <w:rPr>
          <w:rFonts w:ascii="Times New Roman" w:hAnsi="Times New Roman" w:cs="Times New Roman"/>
          <w:sz w:val="24"/>
          <w:szCs w:val="24"/>
        </w:rPr>
        <w:t xml:space="preserve">misconduct in public office were embellished in </w:t>
      </w:r>
      <w:r w:rsidRPr="00D63FD0">
        <w:rPr>
          <w:rFonts w:ascii="Times New Roman" w:hAnsi="Times New Roman" w:cs="Times New Roman"/>
          <w:sz w:val="24"/>
          <w:szCs w:val="24"/>
        </w:rPr>
        <w:t xml:space="preserve">the </w:t>
      </w:r>
      <w:r w:rsidRPr="00D63FD0">
        <w:rPr>
          <w:rFonts w:ascii="Times New Roman" w:hAnsi="Times New Roman" w:cs="Times New Roman"/>
          <w:i/>
          <w:iCs/>
          <w:sz w:val="24"/>
          <w:szCs w:val="24"/>
        </w:rPr>
        <w:t xml:space="preserve">Attorney General’s Reference (No 3 of 2003) </w:t>
      </w:r>
      <w:r w:rsidRPr="00D63FD0">
        <w:rPr>
          <w:rFonts w:ascii="Times New Roman" w:hAnsi="Times New Roman" w:cs="Times New Roman"/>
          <w:sz w:val="24"/>
          <w:szCs w:val="24"/>
        </w:rPr>
        <w:t>[2005] QB 73 (“AG Ref 2003”).</w:t>
      </w:r>
      <w:r>
        <w:rPr>
          <w:rStyle w:val="FootnoteReference"/>
          <w:rFonts w:ascii="Times New Roman" w:hAnsi="Times New Roman" w:cs="Times New Roman"/>
          <w:sz w:val="24"/>
          <w:szCs w:val="24"/>
        </w:rPr>
        <w:footnoteReference w:id="4"/>
      </w:r>
      <w:r>
        <w:rPr>
          <w:rFonts w:ascii="Times New Roman" w:hAnsi="Times New Roman" w:cs="Times New Roman"/>
          <w:sz w:val="24"/>
          <w:szCs w:val="24"/>
        </w:rPr>
        <w:t xml:space="preserve"> In the preceding</w:t>
      </w:r>
      <w:r w:rsidRPr="00D63FD0">
        <w:rPr>
          <w:rFonts w:ascii="Times New Roman" w:hAnsi="Times New Roman" w:cs="Times New Roman"/>
          <w:sz w:val="24"/>
          <w:szCs w:val="24"/>
        </w:rPr>
        <w:t xml:space="preserve">, </w:t>
      </w:r>
      <w:r>
        <w:rPr>
          <w:rFonts w:ascii="Times New Roman" w:hAnsi="Times New Roman" w:cs="Times New Roman"/>
          <w:sz w:val="24"/>
          <w:szCs w:val="24"/>
        </w:rPr>
        <w:t xml:space="preserve">the court of appeal asserted </w:t>
      </w:r>
      <w:r w:rsidRPr="00D63FD0">
        <w:rPr>
          <w:rFonts w:ascii="Times New Roman" w:hAnsi="Times New Roman" w:cs="Times New Roman"/>
          <w:sz w:val="24"/>
          <w:szCs w:val="24"/>
        </w:rPr>
        <w:t>that an offense of misconduct i</w:t>
      </w:r>
      <w:r>
        <w:rPr>
          <w:rFonts w:ascii="Times New Roman" w:hAnsi="Times New Roman" w:cs="Times New Roman"/>
          <w:sz w:val="24"/>
          <w:szCs w:val="24"/>
        </w:rPr>
        <w:t>n public office would have occurred</w:t>
      </w:r>
      <w:r w:rsidRPr="00D63FD0">
        <w:rPr>
          <w:rFonts w:ascii="Times New Roman" w:hAnsi="Times New Roman" w:cs="Times New Roman"/>
          <w:sz w:val="24"/>
          <w:szCs w:val="24"/>
        </w:rPr>
        <w:t xml:space="preserve"> if the</w:t>
      </w:r>
      <w:r>
        <w:rPr>
          <w:rFonts w:ascii="Times New Roman" w:hAnsi="Times New Roman" w:cs="Times New Roman"/>
          <w:sz w:val="24"/>
          <w:szCs w:val="24"/>
        </w:rPr>
        <w:t xml:space="preserve"> following factors are singled out</w:t>
      </w:r>
      <w:r w:rsidRPr="00D63FD0">
        <w:rPr>
          <w:rFonts w:ascii="Times New Roman" w:hAnsi="Times New Roman" w:cs="Times New Roman"/>
          <w:sz w:val="24"/>
          <w:szCs w:val="24"/>
        </w:rPr>
        <w:t>:</w:t>
      </w:r>
    </w:p>
    <w:p w14:paraId="7E7B22E8" w14:textId="77777777" w:rsidR="008944E3" w:rsidRPr="00D63FD0" w:rsidRDefault="002438FB" w:rsidP="008944E3">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alleged conduct </w:t>
      </w:r>
      <w:r w:rsidRPr="00D63FD0">
        <w:rPr>
          <w:rFonts w:ascii="Times New Roman" w:hAnsi="Times New Roman" w:cs="Times New Roman"/>
          <w:sz w:val="24"/>
          <w:szCs w:val="24"/>
        </w:rPr>
        <w:t xml:space="preserve">was </w:t>
      </w:r>
      <w:r w:rsidR="008F2083">
        <w:rPr>
          <w:rFonts w:ascii="Times New Roman" w:hAnsi="Times New Roman" w:cs="Times New Roman"/>
          <w:sz w:val="24"/>
          <w:szCs w:val="24"/>
        </w:rPr>
        <w:t>effected</w:t>
      </w:r>
      <w:r>
        <w:rPr>
          <w:rFonts w:ascii="Times New Roman" w:hAnsi="Times New Roman" w:cs="Times New Roman"/>
          <w:sz w:val="24"/>
          <w:szCs w:val="24"/>
        </w:rPr>
        <w:t xml:space="preserve"> </w:t>
      </w:r>
      <w:r w:rsidRPr="00D63FD0">
        <w:rPr>
          <w:rFonts w:ascii="Times New Roman" w:hAnsi="Times New Roman" w:cs="Times New Roman"/>
          <w:sz w:val="24"/>
          <w:szCs w:val="24"/>
        </w:rPr>
        <w:t>by a public officer acting as such</w:t>
      </w:r>
    </w:p>
    <w:p w14:paraId="54F70AB4" w14:textId="77777777" w:rsidR="008944E3" w:rsidRPr="00D63FD0" w:rsidRDefault="002438FB" w:rsidP="008944E3">
      <w:pPr>
        <w:pStyle w:val="ListParagraph"/>
        <w:numPr>
          <w:ilvl w:val="0"/>
          <w:numId w:val="2"/>
        </w:numPr>
        <w:spacing w:after="0" w:line="480" w:lineRule="auto"/>
        <w:rPr>
          <w:rFonts w:ascii="Times New Roman" w:hAnsi="Times New Roman" w:cs="Times New Roman"/>
          <w:sz w:val="24"/>
          <w:szCs w:val="24"/>
        </w:rPr>
      </w:pPr>
      <w:r w:rsidRPr="00D63FD0">
        <w:rPr>
          <w:rFonts w:ascii="Times New Roman" w:hAnsi="Times New Roman" w:cs="Times New Roman"/>
          <w:sz w:val="24"/>
          <w:szCs w:val="24"/>
        </w:rPr>
        <w:t>T</w:t>
      </w:r>
      <w:r w:rsidR="009355C0">
        <w:rPr>
          <w:rFonts w:ascii="Times New Roman" w:hAnsi="Times New Roman" w:cs="Times New Roman"/>
          <w:sz w:val="24"/>
          <w:szCs w:val="24"/>
        </w:rPr>
        <w:t xml:space="preserve">he said public officer knowingly neglects to execute his official duty </w:t>
      </w:r>
      <w:r w:rsidR="00556B2D">
        <w:rPr>
          <w:rFonts w:ascii="Times New Roman" w:hAnsi="Times New Roman" w:cs="Times New Roman"/>
          <w:sz w:val="24"/>
          <w:szCs w:val="24"/>
        </w:rPr>
        <w:t>or purposely</w:t>
      </w:r>
      <w:r w:rsidRPr="00D63FD0">
        <w:rPr>
          <w:rFonts w:ascii="Times New Roman" w:hAnsi="Times New Roman" w:cs="Times New Roman"/>
          <w:sz w:val="24"/>
          <w:szCs w:val="24"/>
        </w:rPr>
        <w:t xml:space="preserve"> misconducts himself.</w:t>
      </w:r>
    </w:p>
    <w:p w14:paraId="24626EF0" w14:textId="77777777" w:rsidR="00D818A2" w:rsidRDefault="002438FB" w:rsidP="00D818A2">
      <w:pPr>
        <w:pStyle w:val="ListParagraph"/>
        <w:numPr>
          <w:ilvl w:val="0"/>
          <w:numId w:val="2"/>
        </w:numPr>
        <w:spacing w:after="0" w:line="480" w:lineRule="auto"/>
        <w:rPr>
          <w:rFonts w:ascii="Times New Roman" w:hAnsi="Times New Roman" w:cs="Times New Roman"/>
          <w:sz w:val="24"/>
          <w:szCs w:val="24"/>
        </w:rPr>
      </w:pPr>
      <w:r w:rsidRPr="00D63FD0">
        <w:rPr>
          <w:rFonts w:ascii="Times New Roman" w:hAnsi="Times New Roman" w:cs="Times New Roman"/>
          <w:sz w:val="24"/>
          <w:szCs w:val="24"/>
        </w:rPr>
        <w:t>The act or omission</w:t>
      </w:r>
      <w:r w:rsidR="00F96D57">
        <w:rPr>
          <w:rFonts w:ascii="Times New Roman" w:hAnsi="Times New Roman" w:cs="Times New Roman"/>
          <w:sz w:val="24"/>
          <w:szCs w:val="24"/>
        </w:rPr>
        <w:t xml:space="preserve"> is to such a degree</w:t>
      </w:r>
      <w:r w:rsidR="00524606">
        <w:rPr>
          <w:rFonts w:ascii="Times New Roman" w:hAnsi="Times New Roman" w:cs="Times New Roman"/>
          <w:sz w:val="24"/>
          <w:szCs w:val="24"/>
        </w:rPr>
        <w:t xml:space="preserve"> as to translate to</w:t>
      </w:r>
      <w:r w:rsidRPr="00D63FD0">
        <w:rPr>
          <w:rFonts w:ascii="Times New Roman" w:hAnsi="Times New Roman" w:cs="Times New Roman"/>
          <w:sz w:val="24"/>
          <w:szCs w:val="24"/>
        </w:rPr>
        <w:t xml:space="preserve"> an abuse of the role entrust</w:t>
      </w:r>
      <w:r w:rsidR="00524606">
        <w:rPr>
          <w:rFonts w:ascii="Times New Roman" w:hAnsi="Times New Roman" w:cs="Times New Roman"/>
          <w:sz w:val="24"/>
          <w:szCs w:val="24"/>
        </w:rPr>
        <w:t>ed by the public</w:t>
      </w:r>
      <w:r w:rsidRPr="00D63FD0">
        <w:rPr>
          <w:rFonts w:ascii="Times New Roman" w:hAnsi="Times New Roman" w:cs="Times New Roman"/>
          <w:sz w:val="24"/>
          <w:szCs w:val="24"/>
        </w:rPr>
        <w:t>.</w:t>
      </w:r>
    </w:p>
    <w:p w14:paraId="6F46B4F7" w14:textId="77777777" w:rsidR="00D818A2" w:rsidRDefault="00D818A2" w:rsidP="00D818A2">
      <w:pPr>
        <w:spacing w:after="0" w:line="480" w:lineRule="auto"/>
        <w:rPr>
          <w:rFonts w:ascii="Times New Roman" w:hAnsi="Times New Roman" w:cs="Times New Roman"/>
          <w:sz w:val="24"/>
          <w:szCs w:val="24"/>
        </w:rPr>
      </w:pPr>
    </w:p>
    <w:p w14:paraId="06996863" w14:textId="77777777" w:rsidR="00D818A2" w:rsidRDefault="002438FB" w:rsidP="00D818A2">
      <w:pPr>
        <w:spacing w:after="0" w:line="480" w:lineRule="auto"/>
        <w:rPr>
          <w:rFonts w:ascii="Times New Roman" w:hAnsi="Times New Roman" w:cs="Times New Roman"/>
          <w:sz w:val="24"/>
          <w:szCs w:val="24"/>
        </w:rPr>
      </w:pPr>
      <w:r>
        <w:rPr>
          <w:rFonts w:ascii="Times New Roman" w:hAnsi="Times New Roman" w:cs="Times New Roman"/>
          <w:sz w:val="24"/>
          <w:szCs w:val="24"/>
        </w:rPr>
        <w:t>Grounds for the Judicial review application</w:t>
      </w:r>
    </w:p>
    <w:p w14:paraId="46464CCC" w14:textId="77777777" w:rsidR="00146AD4" w:rsidRDefault="002438FB" w:rsidP="00146AD4">
      <w:pPr>
        <w:pStyle w:val="ListParagraph"/>
        <w:numPr>
          <w:ilvl w:val="0"/>
          <w:numId w:val="3"/>
        </w:numPr>
        <w:spacing w:after="0" w:line="480" w:lineRule="auto"/>
        <w:rPr>
          <w:rFonts w:ascii="Times New Roman" w:hAnsi="Times New Roman" w:cs="Times New Roman"/>
          <w:sz w:val="24"/>
          <w:szCs w:val="24"/>
        </w:rPr>
      </w:pPr>
      <w:r>
        <w:rPr>
          <w:rFonts w:ascii="Times New Roman" w:hAnsi="Times New Roman" w:cs="Times New Roman"/>
          <w:sz w:val="24"/>
          <w:szCs w:val="24"/>
        </w:rPr>
        <w:t>Elements of the offense</w:t>
      </w:r>
    </w:p>
    <w:p w14:paraId="11FCF5BE" w14:textId="77777777" w:rsidR="00146AD4" w:rsidRPr="00D63FD0" w:rsidRDefault="002438FB" w:rsidP="00146AD4">
      <w:pPr>
        <w:spacing w:after="0" w:line="480" w:lineRule="auto"/>
        <w:rPr>
          <w:rFonts w:ascii="Times New Roman" w:hAnsi="Times New Roman" w:cs="Times New Roman"/>
          <w:sz w:val="24"/>
          <w:szCs w:val="24"/>
        </w:rPr>
      </w:pPr>
      <w:r>
        <w:rPr>
          <w:rFonts w:ascii="Times New Roman" w:hAnsi="Times New Roman" w:cs="Times New Roman"/>
          <w:sz w:val="24"/>
          <w:szCs w:val="24"/>
        </w:rPr>
        <w:t>The deposed infraction</w:t>
      </w:r>
      <w:r w:rsidRPr="00D63FD0">
        <w:rPr>
          <w:rFonts w:ascii="Times New Roman" w:hAnsi="Times New Roman" w:cs="Times New Roman"/>
          <w:sz w:val="24"/>
          <w:szCs w:val="24"/>
        </w:rPr>
        <w:t xml:space="preserve"> is that The Prime minister.' </w:t>
      </w:r>
    </w:p>
    <w:p w14:paraId="306C4660" w14:textId="77777777" w:rsidR="00146AD4" w:rsidRPr="00D63FD0" w:rsidRDefault="002438FB" w:rsidP="00146AD4">
      <w:pPr>
        <w:spacing w:after="0" w:line="480" w:lineRule="auto"/>
        <w:ind w:left="1440"/>
        <w:rPr>
          <w:rFonts w:ascii="Times New Roman" w:hAnsi="Times New Roman" w:cs="Times New Roman"/>
          <w:i/>
          <w:sz w:val="24"/>
          <w:szCs w:val="24"/>
        </w:rPr>
      </w:pPr>
      <w:r w:rsidRPr="00D63FD0">
        <w:rPr>
          <w:rFonts w:ascii="Times New Roman" w:hAnsi="Times New Roman" w:cs="Times New Roman"/>
          <w:i/>
          <w:sz w:val="24"/>
          <w:szCs w:val="24"/>
        </w:rPr>
        <w:t>"Repeatedly made and endorsed false and misleading statements concerning the cost of the United Kingdom's membership of the European Union."</w:t>
      </w:r>
    </w:p>
    <w:p w14:paraId="44D4AE3C" w14:textId="77777777" w:rsidR="00146AD4" w:rsidRDefault="002438FB" w:rsidP="00146AD4">
      <w:pPr>
        <w:pStyle w:val="Default"/>
        <w:spacing w:line="480" w:lineRule="auto"/>
      </w:pPr>
      <w:r w:rsidRPr="00D63FD0">
        <w:t xml:space="preserve"> The two compon</w:t>
      </w:r>
      <w:r>
        <w:t xml:space="preserve">ents of the purported offense </w:t>
      </w:r>
      <w:r w:rsidRPr="00D63FD0">
        <w:t>are whether the cla</w:t>
      </w:r>
      <w:r>
        <w:t>imant was acting in his position</w:t>
      </w:r>
      <w:r w:rsidRPr="00D63FD0">
        <w:t xml:space="preserve"> as a public officer wh</w:t>
      </w:r>
      <w:r>
        <w:t>en he made the statement in question. Secondly, is whether his conduct was with a conscience awareness of the wrong and hence</w:t>
      </w:r>
      <w:r w:rsidRPr="00D63FD0">
        <w:t xml:space="preserve"> out of negligence. </w:t>
      </w:r>
    </w:p>
    <w:p w14:paraId="2E2D1A13" w14:textId="77777777" w:rsidR="00146AD4" w:rsidRDefault="002438FB" w:rsidP="00146AD4">
      <w:pPr>
        <w:pStyle w:val="Default"/>
        <w:numPr>
          <w:ilvl w:val="0"/>
          <w:numId w:val="4"/>
        </w:numPr>
        <w:spacing w:line="480" w:lineRule="auto"/>
      </w:pPr>
      <w:r w:rsidRPr="00D63FD0">
        <w:t>Acting in the capacity of a public officer</w:t>
      </w:r>
    </w:p>
    <w:p w14:paraId="134E226C" w14:textId="77777777" w:rsidR="00146AD4" w:rsidRPr="00D63FD0" w:rsidRDefault="002438FB" w:rsidP="00146AD4">
      <w:pPr>
        <w:pStyle w:val="Default"/>
        <w:spacing w:line="480" w:lineRule="auto"/>
      </w:pPr>
      <w:r>
        <w:lastRenderedPageBreak/>
        <w:t>To make out</w:t>
      </w:r>
      <w:r w:rsidRPr="00D63FD0">
        <w:t xml:space="preserve"> the </w:t>
      </w:r>
      <w:r>
        <w:t xml:space="preserve">issue regarding the position within which the contended statements were made, </w:t>
      </w:r>
      <w:r w:rsidRPr="00D63FD0">
        <w:t xml:space="preserve">it is crucial to </w:t>
      </w:r>
      <w:r>
        <w:t>explore</w:t>
      </w:r>
      <w:r w:rsidRPr="00D63FD0">
        <w:t xml:space="preserve"> the </w:t>
      </w:r>
      <w:r>
        <w:t>duties contingent to that specific</w:t>
      </w:r>
      <w:r w:rsidRPr="00D63FD0">
        <w:t xml:space="preserve"> state office</w:t>
      </w:r>
      <w:r>
        <w:rPr>
          <w:rStyle w:val="FootnoteReference"/>
        </w:rPr>
        <w:footnoteReference w:id="5"/>
      </w:r>
      <w:r>
        <w:t>. The District Judge said</w:t>
      </w:r>
      <w:r w:rsidRPr="00D63FD0">
        <w:t xml:space="preserve"> that </w:t>
      </w:r>
    </w:p>
    <w:p w14:paraId="378B42B5" w14:textId="77777777" w:rsidR="00146AD4" w:rsidRPr="00D63FD0" w:rsidRDefault="002438FB" w:rsidP="00146AD4">
      <w:pPr>
        <w:pStyle w:val="Default"/>
        <w:spacing w:line="480" w:lineRule="auto"/>
        <w:ind w:left="1440"/>
        <w:rPr>
          <w:i/>
          <w:iCs/>
          <w:color w:val="auto"/>
        </w:rPr>
      </w:pPr>
      <w:r w:rsidRPr="00D63FD0">
        <w:rPr>
          <w:color w:val="auto"/>
        </w:rPr>
        <w:t>“</w:t>
      </w:r>
      <w:r w:rsidRPr="00D63FD0">
        <w:rPr>
          <w:i/>
          <w:iCs/>
          <w:color w:val="auto"/>
        </w:rPr>
        <w:t>The public offices held by Mr. Johnson provide status but with that status comes influence and authority”</w:t>
      </w:r>
      <w:r>
        <w:rPr>
          <w:rStyle w:val="FootnoteReference"/>
          <w:i/>
          <w:iCs/>
          <w:color w:val="auto"/>
        </w:rPr>
        <w:footnoteReference w:id="6"/>
      </w:r>
    </w:p>
    <w:p w14:paraId="748AD971" w14:textId="77777777" w:rsidR="00146AD4" w:rsidRDefault="002438FB" w:rsidP="00146AD4">
      <w:pPr>
        <w:pStyle w:val="Default"/>
        <w:spacing w:line="480" w:lineRule="auto"/>
        <w:rPr>
          <w:color w:val="auto"/>
        </w:rPr>
      </w:pPr>
      <w:r>
        <w:rPr>
          <w:color w:val="auto"/>
        </w:rPr>
        <w:t>The preceding only shows</w:t>
      </w:r>
      <w:r w:rsidRPr="00D63FD0">
        <w:rPr>
          <w:color w:val="auto"/>
        </w:rPr>
        <w:t xml:space="preserve"> that the office of the Prime minister or Mayor of London</w:t>
      </w:r>
      <w:r>
        <w:rPr>
          <w:color w:val="auto"/>
        </w:rPr>
        <w:t>,</w:t>
      </w:r>
      <w:r w:rsidRPr="00D63FD0">
        <w:rPr>
          <w:color w:val="auto"/>
        </w:rPr>
        <w:t xml:space="preserve"> offices </w:t>
      </w:r>
      <w:r>
        <w:rPr>
          <w:color w:val="auto"/>
        </w:rPr>
        <w:t xml:space="preserve">which </w:t>
      </w:r>
      <w:r w:rsidRPr="00D63FD0">
        <w:rPr>
          <w:color w:val="auto"/>
        </w:rPr>
        <w:t>Mr. Boris</w:t>
      </w:r>
      <w:r>
        <w:rPr>
          <w:color w:val="auto"/>
        </w:rPr>
        <w:t xml:space="preserve"> occupied, were prominent and influential</w:t>
      </w:r>
      <w:r w:rsidRPr="00D63FD0">
        <w:rPr>
          <w:color w:val="auto"/>
        </w:rPr>
        <w:t>. The prime minist</w:t>
      </w:r>
      <w:r>
        <w:rPr>
          <w:color w:val="auto"/>
        </w:rPr>
        <w:t>er, who at the time still held the public office, made a comment</w:t>
      </w:r>
      <w:r w:rsidRPr="00D63FD0">
        <w:rPr>
          <w:color w:val="auto"/>
        </w:rPr>
        <w:t xml:space="preserve"> t</w:t>
      </w:r>
      <w:r>
        <w:rPr>
          <w:color w:val="auto"/>
        </w:rPr>
        <w:t>hat was contentious but did not convey the comments in the express discourse of his official duties and responsibilities. It was not sufficient to acknowledge</w:t>
      </w:r>
      <w:r w:rsidRPr="00D63FD0">
        <w:rPr>
          <w:color w:val="auto"/>
        </w:rPr>
        <w:t xml:space="preserve"> that he made the</w:t>
      </w:r>
      <w:r>
        <w:rPr>
          <w:color w:val="auto"/>
        </w:rPr>
        <w:t xml:space="preserve"> statements while holding</w:t>
      </w:r>
      <w:r w:rsidRPr="00D63FD0">
        <w:rPr>
          <w:color w:val="auto"/>
        </w:rPr>
        <w:t xml:space="preserve"> a public office of Mayor of London or prime minister of the UK.</w:t>
      </w:r>
      <w:r>
        <w:rPr>
          <w:color w:val="auto"/>
        </w:rPr>
        <w:t xml:space="preserve"> A serious examination of the infringement</w:t>
      </w:r>
      <w:r w:rsidRPr="00D63FD0">
        <w:rPr>
          <w:color w:val="auto"/>
        </w:rPr>
        <w:t xml:space="preserve"> of </w:t>
      </w:r>
      <w:r>
        <w:rPr>
          <w:color w:val="auto"/>
        </w:rPr>
        <w:t>civic duty would have unveiled that the aspect</w:t>
      </w:r>
      <w:r w:rsidRPr="00D63FD0">
        <w:rPr>
          <w:color w:val="auto"/>
        </w:rPr>
        <w:t xml:space="preserve"> of acting as a public of</w:t>
      </w:r>
      <w:r>
        <w:rPr>
          <w:color w:val="auto"/>
        </w:rPr>
        <w:t>ficer is not identified</w:t>
      </w:r>
      <w:r w:rsidRPr="00D63FD0">
        <w:rPr>
          <w:color w:val="auto"/>
        </w:rPr>
        <w:t xml:space="preserve">.  </w:t>
      </w:r>
    </w:p>
    <w:p w14:paraId="0DC4AD07" w14:textId="77777777" w:rsidR="00146AD4" w:rsidRDefault="00146AD4" w:rsidP="00146AD4">
      <w:pPr>
        <w:pStyle w:val="Default"/>
        <w:spacing w:line="480" w:lineRule="auto"/>
        <w:rPr>
          <w:color w:val="auto"/>
        </w:rPr>
      </w:pPr>
    </w:p>
    <w:p w14:paraId="4D2EAB73" w14:textId="77777777" w:rsidR="00146AD4" w:rsidRPr="00D63FD0" w:rsidRDefault="002438FB" w:rsidP="00146AD4">
      <w:pPr>
        <w:pStyle w:val="Default"/>
        <w:spacing w:line="480" w:lineRule="auto"/>
        <w:rPr>
          <w:color w:val="auto"/>
        </w:rPr>
      </w:pPr>
      <w:r w:rsidRPr="00D63FD0">
        <w:rPr>
          <w:color w:val="auto"/>
        </w:rPr>
        <w:t xml:space="preserve">The Australian case of </w:t>
      </w:r>
      <w:r w:rsidRPr="00D63FD0">
        <w:rPr>
          <w:i/>
          <w:iCs/>
          <w:color w:val="auto"/>
        </w:rPr>
        <w:t xml:space="preserve">Quach </w:t>
      </w:r>
      <w:r w:rsidRPr="00D63FD0">
        <w:rPr>
          <w:color w:val="auto"/>
        </w:rPr>
        <w:t>[2010] VSCA 106</w:t>
      </w:r>
      <w:r>
        <w:rPr>
          <w:rStyle w:val="FootnoteReference"/>
          <w:color w:val="auto"/>
        </w:rPr>
        <w:footnoteReference w:id="7"/>
      </w:r>
      <w:r w:rsidRPr="00D63FD0">
        <w:rPr>
          <w:color w:val="auto"/>
        </w:rPr>
        <w:t xml:space="preserve"> </w:t>
      </w:r>
      <w:r>
        <w:rPr>
          <w:color w:val="auto"/>
        </w:rPr>
        <w:t xml:space="preserve">illustrates that the required composition </w:t>
      </w:r>
      <w:r w:rsidRPr="00D63FD0">
        <w:rPr>
          <w:color w:val="auto"/>
        </w:rPr>
        <w:t>of the offense</w:t>
      </w:r>
      <w:r>
        <w:rPr>
          <w:color w:val="auto"/>
        </w:rPr>
        <w:t xml:space="preserve"> must incorporate</w:t>
      </w:r>
      <w:r w:rsidRPr="00D63FD0">
        <w:rPr>
          <w:color w:val="auto"/>
        </w:rPr>
        <w:t xml:space="preserve"> the ingredient of “acting as such’ to pro</w:t>
      </w:r>
      <w:r>
        <w:rPr>
          <w:color w:val="auto"/>
        </w:rPr>
        <w:t xml:space="preserve">ve the circumstances upon which the alleged misconduct occurred. </w:t>
      </w:r>
      <w:r w:rsidRPr="00D63FD0">
        <w:rPr>
          <w:color w:val="auto"/>
        </w:rPr>
        <w:t xml:space="preserve">However, </w:t>
      </w:r>
      <w:r>
        <w:rPr>
          <w:color w:val="auto"/>
        </w:rPr>
        <w:t>the misconduct, if not happening</w:t>
      </w:r>
      <w:r w:rsidRPr="00D63FD0">
        <w:rPr>
          <w:color w:val="auto"/>
        </w:rPr>
        <w:t xml:space="preserve"> in the course of discharge of official duties</w:t>
      </w:r>
      <w:r>
        <w:rPr>
          <w:color w:val="auto"/>
        </w:rPr>
        <w:t xml:space="preserve">, ought to possess a strong </w:t>
      </w:r>
      <w:r w:rsidRPr="00D63FD0">
        <w:rPr>
          <w:color w:val="auto"/>
        </w:rPr>
        <w:t>link to their public of</w:t>
      </w:r>
      <w:r>
        <w:rPr>
          <w:color w:val="auto"/>
        </w:rPr>
        <w:t>fice. This can only be surmised upon inspection</w:t>
      </w:r>
      <w:r w:rsidRPr="00D63FD0">
        <w:rPr>
          <w:color w:val="auto"/>
        </w:rPr>
        <w:t xml:space="preserve"> of facts of each case separately. The District Magistrates court </w:t>
      </w:r>
      <w:r>
        <w:rPr>
          <w:color w:val="auto"/>
        </w:rPr>
        <w:t xml:space="preserve">focused their decision on the premise that the misconduct should contradict </w:t>
      </w:r>
      <w:r w:rsidRPr="00D63FD0">
        <w:rPr>
          <w:color w:val="auto"/>
        </w:rPr>
        <w:t xml:space="preserve">the expected </w:t>
      </w:r>
      <w:r>
        <w:rPr>
          <w:color w:val="auto"/>
        </w:rPr>
        <w:t>discharge</w:t>
      </w:r>
      <w:r w:rsidRPr="00D63FD0">
        <w:rPr>
          <w:color w:val="auto"/>
        </w:rPr>
        <w:t xml:space="preserve"> of duties</w:t>
      </w:r>
      <w:r>
        <w:rPr>
          <w:color w:val="auto"/>
        </w:rPr>
        <w:t xml:space="preserve"> of the office. The findings</w:t>
      </w:r>
      <w:r w:rsidRPr="00D63FD0">
        <w:rPr>
          <w:color w:val="auto"/>
        </w:rPr>
        <w:t xml:space="preserve"> </w:t>
      </w:r>
      <w:r>
        <w:rPr>
          <w:color w:val="auto"/>
        </w:rPr>
        <w:t>of the magistrate court does not identify</w:t>
      </w:r>
      <w:r w:rsidRPr="00D63FD0">
        <w:rPr>
          <w:color w:val="auto"/>
        </w:rPr>
        <w:t xml:space="preserve"> </w:t>
      </w:r>
      <w:r>
        <w:rPr>
          <w:color w:val="auto"/>
        </w:rPr>
        <w:lastRenderedPageBreak/>
        <w:t>demonstrate the link between the vexatious</w:t>
      </w:r>
      <w:r w:rsidRPr="00D63FD0">
        <w:rPr>
          <w:color w:val="auto"/>
        </w:rPr>
        <w:t xml:space="preserve"> </w:t>
      </w:r>
      <w:r>
        <w:rPr>
          <w:color w:val="auto"/>
        </w:rPr>
        <w:t xml:space="preserve">articulation of </w:t>
      </w:r>
      <w:r w:rsidRPr="00D63FD0">
        <w:rPr>
          <w:color w:val="auto"/>
        </w:rPr>
        <w:t>Boris</w:t>
      </w:r>
      <w:r>
        <w:rPr>
          <w:color w:val="auto"/>
        </w:rPr>
        <w:t xml:space="preserve"> to his official position of public servant</w:t>
      </w:r>
      <w:r w:rsidRPr="00D63FD0">
        <w:rPr>
          <w:color w:val="auto"/>
        </w:rPr>
        <w:t>.</w:t>
      </w:r>
    </w:p>
    <w:p w14:paraId="127446AD" w14:textId="77777777" w:rsidR="00146AD4" w:rsidRPr="00D63FD0" w:rsidRDefault="002438FB" w:rsidP="00146AD4">
      <w:pPr>
        <w:pStyle w:val="Default"/>
        <w:numPr>
          <w:ilvl w:val="2"/>
          <w:numId w:val="4"/>
        </w:numPr>
        <w:spacing w:line="480" w:lineRule="auto"/>
        <w:rPr>
          <w:color w:val="auto"/>
        </w:rPr>
      </w:pPr>
      <w:r w:rsidRPr="00D63FD0">
        <w:rPr>
          <w:color w:val="auto"/>
        </w:rPr>
        <w:t>Acted out of negligence</w:t>
      </w:r>
    </w:p>
    <w:p w14:paraId="11C823E8" w14:textId="77777777" w:rsidR="00146AD4" w:rsidRPr="00D63FD0" w:rsidRDefault="002438FB" w:rsidP="00146AD4">
      <w:pPr>
        <w:pStyle w:val="Default"/>
        <w:spacing w:line="480" w:lineRule="auto"/>
      </w:pPr>
      <w:r w:rsidRPr="00D63FD0">
        <w:t>Misco</w:t>
      </w:r>
      <w:r>
        <w:t xml:space="preserve">nduct in public office is centered on the breaches of duties </w:t>
      </w:r>
      <w:r w:rsidRPr="00D63FD0">
        <w:t>whi</w:t>
      </w:r>
      <w:r>
        <w:t xml:space="preserve">ch create the offence.  An outstanding </w:t>
      </w:r>
      <w:r w:rsidRPr="00D63FD0">
        <w:t>number</w:t>
      </w:r>
      <w:r>
        <w:t xml:space="preserve"> of misconduct cases are mostly founded on allegations of corruption, or uttermost </w:t>
      </w:r>
      <w:r w:rsidRPr="00D63FD0">
        <w:t xml:space="preserve">negligence by </w:t>
      </w:r>
      <w:r>
        <w:t>disregarding</w:t>
      </w:r>
      <w:r w:rsidRPr="00D63FD0">
        <w:t xml:space="preserve"> </w:t>
      </w:r>
      <w:r>
        <w:t xml:space="preserve">the responsibilities bestowed upon </w:t>
      </w:r>
      <w:r w:rsidRPr="00D63FD0">
        <w:t xml:space="preserve">him by virtue of his office.   </w:t>
      </w:r>
      <w:r>
        <w:t>The foregoing</w:t>
      </w:r>
      <w:r w:rsidRPr="00D63FD0">
        <w:t xml:space="preserve"> condu</w:t>
      </w:r>
      <w:r>
        <w:t>ct is enough to prove violation of critical duties consequently substantiating</w:t>
      </w:r>
      <w:r w:rsidRPr="00D63FD0">
        <w:t xml:space="preserve"> </w:t>
      </w:r>
      <w:r>
        <w:t xml:space="preserve">the offence. This concept is pegged on the analysis of </w:t>
      </w:r>
      <w:r w:rsidRPr="00D63FD0">
        <w:t>how the misconduct was conducted in the course of of</w:t>
      </w:r>
      <w:r>
        <w:t>ficial duties. Further, the infraction</w:t>
      </w:r>
      <w:r w:rsidRPr="00D63FD0">
        <w:t xml:space="preserve"> must have</w:t>
      </w:r>
      <w:r>
        <w:t xml:space="preserve"> been committed in the execution</w:t>
      </w:r>
      <w:r w:rsidRPr="00D63FD0">
        <w:t xml:space="preserve"> of pub</w:t>
      </w:r>
      <w:r>
        <w:t xml:space="preserve">lic tasks, not just by the absolute fact of </w:t>
      </w:r>
      <w:r w:rsidRPr="00D63FD0">
        <w:t>occupation of public office</w:t>
      </w:r>
      <w:r>
        <w:rPr>
          <w:rStyle w:val="FootnoteReference"/>
        </w:rPr>
        <w:footnoteReference w:id="8"/>
      </w:r>
      <w:r w:rsidRPr="00D63FD0">
        <w:t xml:space="preserve">. </w:t>
      </w:r>
    </w:p>
    <w:p w14:paraId="46163294" w14:textId="77777777" w:rsidR="00146AD4" w:rsidRDefault="002438FB" w:rsidP="00146AD4">
      <w:pPr>
        <w:pStyle w:val="Default"/>
        <w:spacing w:line="480" w:lineRule="auto"/>
        <w:rPr>
          <w:rFonts w:eastAsia="Times New Roman"/>
        </w:rPr>
      </w:pPr>
      <w:r>
        <w:t>T</w:t>
      </w:r>
      <w:r w:rsidRPr="00D63FD0">
        <w:t xml:space="preserve">he case of </w:t>
      </w:r>
      <w:r w:rsidRPr="00D63FD0">
        <w:rPr>
          <w:rFonts w:eastAsia="Times New Roman"/>
          <w:i/>
          <w:iCs/>
        </w:rPr>
        <w:t>Chapman</w:t>
      </w:r>
      <w:r w:rsidRPr="00D63FD0">
        <w:rPr>
          <w:rFonts w:eastAsia="Times New Roman"/>
        </w:rPr>
        <w:t xml:space="preserve"> [2015] 2 Cr App R 10</w:t>
      </w:r>
      <w:r>
        <w:rPr>
          <w:rStyle w:val="FootnoteReference"/>
          <w:rFonts w:eastAsia="Times New Roman"/>
        </w:rPr>
        <w:footnoteReference w:id="9"/>
      </w:r>
      <w:r>
        <w:rPr>
          <w:rFonts w:eastAsia="Times New Roman"/>
        </w:rPr>
        <w:t xml:space="preserve">Demonstrates </w:t>
      </w:r>
      <w:r w:rsidRPr="00D63FD0">
        <w:rPr>
          <w:rFonts w:eastAsia="Times New Roman"/>
        </w:rPr>
        <w:t xml:space="preserve">that in order to </w:t>
      </w:r>
      <w:r>
        <w:rPr>
          <w:rFonts w:eastAsia="Times New Roman"/>
        </w:rPr>
        <w:t>determine that the</w:t>
      </w:r>
      <w:r w:rsidRPr="00D63FD0">
        <w:rPr>
          <w:rFonts w:eastAsia="Times New Roman"/>
        </w:rPr>
        <w:t xml:space="preserve"> conduct was not a breach of duty,</w:t>
      </w:r>
      <w:r>
        <w:rPr>
          <w:rFonts w:eastAsia="Times New Roman"/>
        </w:rPr>
        <w:t xml:space="preserve"> the misconduct must be evaluated </w:t>
      </w:r>
      <w:r w:rsidRPr="00D63FD0">
        <w:rPr>
          <w:rFonts w:eastAsia="Times New Roman"/>
        </w:rPr>
        <w:t xml:space="preserve">to decide whether or not it is </w:t>
      </w:r>
      <w:r>
        <w:rPr>
          <w:rFonts w:eastAsia="Times New Roman"/>
        </w:rPr>
        <w:t>far-reaching to be liable</w:t>
      </w:r>
      <w:r w:rsidRPr="00D63FD0">
        <w:rPr>
          <w:rFonts w:eastAsia="Times New Roman"/>
        </w:rPr>
        <w:t xml:space="preserve"> for a conviction. </w:t>
      </w:r>
      <w:r>
        <w:rPr>
          <w:rFonts w:eastAsia="Times New Roman"/>
        </w:rPr>
        <w:t xml:space="preserve">Additionally, </w:t>
      </w:r>
      <w:r w:rsidRPr="00D63FD0">
        <w:rPr>
          <w:rFonts w:eastAsia="Times New Roman"/>
        </w:rPr>
        <w:t>this</w:t>
      </w:r>
      <w:r>
        <w:rPr>
          <w:rFonts w:eastAsia="Times New Roman"/>
        </w:rPr>
        <w:t xml:space="preserve"> can be analyzed by considering its </w:t>
      </w:r>
      <w:r w:rsidRPr="00D63FD0">
        <w:rPr>
          <w:rFonts w:eastAsia="Times New Roman"/>
        </w:rPr>
        <w:t>effect of harming the public interest.</w:t>
      </w:r>
    </w:p>
    <w:p w14:paraId="5C9F338D" w14:textId="77777777" w:rsidR="00146AD4" w:rsidRPr="00D818A2" w:rsidRDefault="00146AD4" w:rsidP="00D818A2">
      <w:pPr>
        <w:spacing w:after="0" w:line="480" w:lineRule="auto"/>
        <w:rPr>
          <w:rFonts w:ascii="Times New Roman" w:hAnsi="Times New Roman" w:cs="Times New Roman"/>
          <w:sz w:val="24"/>
          <w:szCs w:val="24"/>
        </w:rPr>
      </w:pPr>
    </w:p>
    <w:p w14:paraId="6289959E" w14:textId="77777777" w:rsidR="00D818A2" w:rsidRPr="009317B5" w:rsidRDefault="002438FB" w:rsidP="009317B5">
      <w:pPr>
        <w:pStyle w:val="ListParagraph"/>
        <w:numPr>
          <w:ilvl w:val="0"/>
          <w:numId w:val="3"/>
        </w:numPr>
        <w:spacing w:after="0" w:line="480" w:lineRule="auto"/>
        <w:rPr>
          <w:rFonts w:ascii="Times New Roman" w:hAnsi="Times New Roman" w:cs="Times New Roman"/>
          <w:sz w:val="24"/>
          <w:szCs w:val="24"/>
        </w:rPr>
      </w:pPr>
      <w:r w:rsidRPr="009317B5">
        <w:rPr>
          <w:rFonts w:ascii="Times New Roman" w:hAnsi="Times New Roman" w:cs="Times New Roman"/>
          <w:sz w:val="24"/>
          <w:szCs w:val="24"/>
        </w:rPr>
        <w:t>Legal Background of issuance of summons</w:t>
      </w:r>
    </w:p>
    <w:p w14:paraId="533DAFBB" w14:textId="77777777" w:rsidR="00D818A2" w:rsidRPr="00807194" w:rsidRDefault="002438FB" w:rsidP="00D818A2">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Summons </w:t>
      </w:r>
      <w:r w:rsidRPr="00807194">
        <w:rPr>
          <w:rFonts w:ascii="Times New Roman" w:hAnsi="Times New Roman" w:cs="Times New Roman"/>
          <w:sz w:val="24"/>
          <w:szCs w:val="24"/>
        </w:rPr>
        <w:t xml:space="preserve">are writs demanding appearance before a court of law to answer to allegations against an individual. Without summons, there would be no prosecution. A requisition for summons will be allowed by a District judge upon conciliation that the alleged claim is an offense established by law and whether all the required legal elements of the crime are </w:t>
      </w:r>
      <w:r w:rsidRPr="00807194">
        <w:rPr>
          <w:rFonts w:ascii="Times New Roman" w:hAnsi="Times New Roman" w:cs="Times New Roman"/>
          <w:i/>
          <w:sz w:val="24"/>
          <w:szCs w:val="24"/>
        </w:rPr>
        <w:t>Prema Facie</w:t>
      </w:r>
      <w:r w:rsidRPr="00807194">
        <w:rPr>
          <w:rFonts w:ascii="Times New Roman" w:hAnsi="Times New Roman" w:cs="Times New Roman"/>
          <w:sz w:val="24"/>
          <w:szCs w:val="24"/>
        </w:rPr>
        <w:t xml:space="preserve"> present. Also, the court must take into account whether there is indeed imperative ratiocination against the </w:t>
      </w:r>
      <w:r w:rsidRPr="00807194">
        <w:rPr>
          <w:rFonts w:ascii="Times New Roman" w:hAnsi="Times New Roman" w:cs="Times New Roman"/>
          <w:sz w:val="24"/>
          <w:szCs w:val="24"/>
        </w:rPr>
        <w:lastRenderedPageBreak/>
        <w:t>issuance of summons. The claimant's legal reasoning that the application is vexatiously motivated by an inexpedient ulterior motive.</w:t>
      </w:r>
    </w:p>
    <w:p w14:paraId="008B70E7" w14:textId="77777777" w:rsidR="009317B5" w:rsidRDefault="009317B5" w:rsidP="00D818A2">
      <w:pPr>
        <w:spacing w:after="0" w:line="480" w:lineRule="auto"/>
        <w:rPr>
          <w:rFonts w:ascii="Times New Roman" w:hAnsi="Times New Roman" w:cs="Times New Roman"/>
          <w:sz w:val="24"/>
          <w:szCs w:val="24"/>
        </w:rPr>
      </w:pPr>
    </w:p>
    <w:p w14:paraId="00770AD7" w14:textId="77777777" w:rsidR="00D818A2" w:rsidRDefault="002438FB" w:rsidP="00D818A2">
      <w:pPr>
        <w:spacing w:after="0" w:line="480" w:lineRule="auto"/>
        <w:rPr>
          <w:rFonts w:ascii="Times New Roman" w:hAnsi="Times New Roman" w:cs="Times New Roman"/>
          <w:sz w:val="24"/>
          <w:szCs w:val="24"/>
        </w:rPr>
      </w:pPr>
      <w:r w:rsidRPr="00807194">
        <w:rPr>
          <w:rFonts w:ascii="Times New Roman" w:hAnsi="Times New Roman" w:cs="Times New Roman"/>
          <w:sz w:val="24"/>
          <w:szCs w:val="24"/>
        </w:rPr>
        <w:t>Boris Johnson's case was instituted as a private matter.  He chose to oppose the summons issued by the Magistrate's court as a legal strategy well castigated to ensure the prosecution does not proceed at the very onset. In a majority of public trials, by the time the magistrate issues summons, the case will have undergone an investigation by police. Similarly, the case will have been consigned to the crown prince prosecution service and inspected by a legal adviser who</w:t>
      </w:r>
      <w:r>
        <w:rPr>
          <w:rFonts w:ascii="Times New Roman" w:hAnsi="Times New Roman" w:cs="Times New Roman"/>
          <w:sz w:val="24"/>
          <w:szCs w:val="24"/>
        </w:rPr>
        <w:t>’s review</w:t>
      </w:r>
      <w:r w:rsidRPr="00807194">
        <w:rPr>
          <w:rFonts w:ascii="Times New Roman" w:hAnsi="Times New Roman" w:cs="Times New Roman"/>
          <w:sz w:val="24"/>
          <w:szCs w:val="24"/>
        </w:rPr>
        <w:t xml:space="preserve"> confirms that the ominous and practical tests for prosecution are met. The foregoing procedure ensures that the threshold for issuing summons is met.  The use of the law about misconduct in public office for the trial of a political figure for giving inaccurate statements during a political campaign is, without a doubt, peculiar. </w:t>
      </w:r>
    </w:p>
    <w:p w14:paraId="71E78111" w14:textId="77777777" w:rsidR="00A011A1" w:rsidRDefault="002438FB" w:rsidP="009369A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Allegations </w:t>
      </w:r>
      <w:r w:rsidRPr="00D63FD0">
        <w:rPr>
          <w:rFonts w:ascii="Times New Roman" w:hAnsi="Times New Roman" w:cs="Times New Roman"/>
          <w:sz w:val="24"/>
          <w:szCs w:val="24"/>
        </w:rPr>
        <w:t>made against Boris</w:t>
      </w:r>
      <w:r>
        <w:rPr>
          <w:rFonts w:ascii="Times New Roman" w:hAnsi="Times New Roman" w:cs="Times New Roman"/>
          <w:sz w:val="24"/>
          <w:szCs w:val="24"/>
        </w:rPr>
        <w:t xml:space="preserve"> did not have a solid legal background apart </w:t>
      </w:r>
      <w:r w:rsidR="006F4298">
        <w:rPr>
          <w:rFonts w:ascii="Times New Roman" w:hAnsi="Times New Roman" w:cs="Times New Roman"/>
          <w:sz w:val="24"/>
          <w:szCs w:val="24"/>
        </w:rPr>
        <w:t>from</w:t>
      </w:r>
      <w:r>
        <w:rPr>
          <w:rFonts w:ascii="Times New Roman" w:hAnsi="Times New Roman" w:cs="Times New Roman"/>
          <w:sz w:val="24"/>
          <w:szCs w:val="24"/>
        </w:rPr>
        <w:t xml:space="preserve"> the fact that his conduct was vexatious. </w:t>
      </w:r>
      <w:r w:rsidR="006F4298">
        <w:rPr>
          <w:rFonts w:ascii="Times New Roman" w:hAnsi="Times New Roman" w:cs="Times New Roman"/>
          <w:sz w:val="24"/>
          <w:szCs w:val="24"/>
        </w:rPr>
        <w:t xml:space="preserve">The directions handed down by </w:t>
      </w:r>
      <w:r>
        <w:rPr>
          <w:rFonts w:ascii="Times New Roman" w:hAnsi="Times New Roman" w:cs="Times New Roman"/>
          <w:sz w:val="24"/>
          <w:szCs w:val="24"/>
        </w:rPr>
        <w:t>the Magistrate’s court were founded on an error of la</w:t>
      </w:r>
      <w:r w:rsidR="006F4298">
        <w:rPr>
          <w:rFonts w:ascii="Times New Roman" w:hAnsi="Times New Roman" w:cs="Times New Roman"/>
          <w:sz w:val="24"/>
          <w:szCs w:val="24"/>
        </w:rPr>
        <w:t xml:space="preserve">w. </w:t>
      </w:r>
      <w:r w:rsidRPr="00D63FD0">
        <w:rPr>
          <w:rFonts w:ascii="Times New Roman" w:hAnsi="Times New Roman" w:cs="Times New Roman"/>
          <w:sz w:val="24"/>
          <w:szCs w:val="24"/>
        </w:rPr>
        <w:t xml:space="preserve"> </w:t>
      </w:r>
      <w:r w:rsidR="006F4298" w:rsidRPr="009369AC">
        <w:rPr>
          <w:rFonts w:ascii="Times New Roman" w:hAnsi="Times New Roman" w:cs="Times New Roman"/>
          <w:sz w:val="24"/>
          <w:szCs w:val="24"/>
        </w:rPr>
        <w:t>District Judge Margot Coleman acted</w:t>
      </w:r>
      <w:r w:rsidR="006F4298">
        <w:rPr>
          <w:rFonts w:ascii="Times New Roman" w:hAnsi="Times New Roman" w:cs="Times New Roman"/>
          <w:sz w:val="24"/>
          <w:szCs w:val="24"/>
        </w:rPr>
        <w:t xml:space="preserve"> outside her discretion when she granted sermons before</w:t>
      </w:r>
      <w:r w:rsidRPr="00D63FD0">
        <w:rPr>
          <w:rFonts w:ascii="Times New Roman" w:hAnsi="Times New Roman" w:cs="Times New Roman"/>
          <w:sz w:val="24"/>
          <w:szCs w:val="24"/>
        </w:rPr>
        <w:t xml:space="preserve"> thoroughly</w:t>
      </w:r>
      <w:r w:rsidR="006F4298">
        <w:rPr>
          <w:rFonts w:ascii="Times New Roman" w:hAnsi="Times New Roman" w:cs="Times New Roman"/>
          <w:sz w:val="24"/>
          <w:szCs w:val="24"/>
        </w:rPr>
        <w:t xml:space="preserve"> verifying whether the critical aspects of the offense contemplated were substantiated. The grievances adduced were not within the ambient</w:t>
      </w:r>
      <w:r w:rsidRPr="00D63FD0">
        <w:rPr>
          <w:rFonts w:ascii="Times New Roman" w:hAnsi="Times New Roman" w:cs="Times New Roman"/>
          <w:sz w:val="24"/>
          <w:szCs w:val="24"/>
        </w:rPr>
        <w:t xml:space="preserve"> of the crime.</w:t>
      </w:r>
      <w:r>
        <w:rPr>
          <w:rStyle w:val="FootnoteReference"/>
          <w:rFonts w:ascii="Times New Roman" w:hAnsi="Times New Roman" w:cs="Times New Roman"/>
          <w:sz w:val="24"/>
          <w:szCs w:val="24"/>
        </w:rPr>
        <w:footnoteReference w:id="10"/>
      </w:r>
    </w:p>
    <w:p w14:paraId="594F5FE5" w14:textId="77777777" w:rsidR="00E85FEE" w:rsidRPr="00D63FD0" w:rsidRDefault="002438FB" w:rsidP="00E85FEE">
      <w:pPr>
        <w:pStyle w:val="Default"/>
        <w:spacing w:line="480" w:lineRule="auto"/>
      </w:pPr>
      <w:r w:rsidRPr="00D63FD0">
        <w:t xml:space="preserve">The contended statement was mentioned during a campaign. There is currently no legal precedent set where a public officer willfully endorses an inaccurate statement in the course of a </w:t>
      </w:r>
      <w:r w:rsidRPr="00D63FD0">
        <w:lastRenderedPageBreak/>
        <w:t>political campaign. During such campaigns, the media plays a massive role in the interpretation of information.</w:t>
      </w:r>
    </w:p>
    <w:p w14:paraId="551EC94E" w14:textId="77777777" w:rsidR="00E85FEE" w:rsidRDefault="002438FB" w:rsidP="002174C0">
      <w:pPr>
        <w:pStyle w:val="Default"/>
        <w:numPr>
          <w:ilvl w:val="0"/>
          <w:numId w:val="3"/>
        </w:numPr>
        <w:spacing w:line="480" w:lineRule="auto"/>
      </w:pPr>
      <w:r>
        <w:t>Lack of a Compelling legal precedent</w:t>
      </w:r>
    </w:p>
    <w:p w14:paraId="1D7DA95C" w14:textId="0D78910D" w:rsidR="0017163A" w:rsidRDefault="002438FB" w:rsidP="00E85FEE">
      <w:pPr>
        <w:pStyle w:val="Default"/>
        <w:spacing w:line="480" w:lineRule="auto"/>
      </w:pPr>
      <w:r w:rsidRPr="00D63FD0">
        <w:t xml:space="preserve"> </w:t>
      </w:r>
      <w:r w:rsidR="0036095D">
        <w:t>Bo</w:t>
      </w:r>
      <w:r>
        <w:t xml:space="preserve">ris </w:t>
      </w:r>
      <w:r w:rsidR="00F35637">
        <w:t>contends</w:t>
      </w:r>
      <w:r w:rsidRPr="00D63FD0">
        <w:t xml:space="preserve"> that there is no</w:t>
      </w:r>
      <w:r w:rsidR="00F35637">
        <w:t xml:space="preserve"> precedent for any public officer’s prosecution</w:t>
      </w:r>
      <w:r w:rsidRPr="00D63FD0">
        <w:t xml:space="preserve"> for</w:t>
      </w:r>
      <w:r w:rsidR="00F35637">
        <w:t xml:space="preserve"> misconduct in public office since the express making/endorsing misleading information with the resolve </w:t>
      </w:r>
      <w:r w:rsidRPr="00D63FD0">
        <w:t>of political cam</w:t>
      </w:r>
      <w:r w:rsidR="00F35637">
        <w:t>paigning. He, therefore, argues that this is highly significant, what is alleged</w:t>
      </w:r>
      <w:r w:rsidRPr="00D63FD0">
        <w:t xml:space="preserve"> </w:t>
      </w:r>
      <w:r w:rsidR="00F35637">
        <w:t>does not fall</w:t>
      </w:r>
      <w:r w:rsidRPr="00D63FD0">
        <w:t xml:space="preserve"> within the </w:t>
      </w:r>
      <w:r w:rsidR="00F35637">
        <w:t xml:space="preserve">ambit of the </w:t>
      </w:r>
      <w:r w:rsidRPr="00D63FD0">
        <w:t>principles app</w:t>
      </w:r>
      <w:r w:rsidR="00F35637">
        <w:t xml:space="preserve">licable to the offense. </w:t>
      </w:r>
      <w:r w:rsidRPr="00D63FD0">
        <w:t xml:space="preserve"> </w:t>
      </w:r>
    </w:p>
    <w:p w14:paraId="78D6EB8F" w14:textId="77777777" w:rsidR="00E85FEE" w:rsidRDefault="002438FB" w:rsidP="00E85FEE">
      <w:pPr>
        <w:pStyle w:val="Default"/>
        <w:spacing w:line="480" w:lineRule="auto"/>
      </w:pPr>
      <w:r w:rsidRPr="00D63FD0">
        <w:t>The Illegal Practices Prevention A</w:t>
      </w:r>
      <w:r w:rsidR="00F35637">
        <w:t>ct of 1895 was enacted to protect</w:t>
      </w:r>
      <w:r w:rsidRPr="00D63FD0">
        <w:t xml:space="preserve"> against the publishing of false information about a cand</w:t>
      </w:r>
      <w:r w:rsidR="00F35637">
        <w:t xml:space="preserve">idate. It is illegal </w:t>
      </w:r>
      <w:r>
        <w:t>to make</w:t>
      </w:r>
      <w:r w:rsidR="00F35637">
        <w:t xml:space="preserve"> or circulate incorrect materials </w:t>
      </w:r>
      <w:r>
        <w:t>of fact about the private</w:t>
      </w:r>
      <w:r w:rsidR="00914408">
        <w:t xml:space="preserve"> integrity or actions</w:t>
      </w:r>
      <w:r w:rsidRPr="00D63FD0">
        <w:t xml:space="preserve"> of a candi</w:t>
      </w:r>
      <w:r w:rsidR="00914408">
        <w:t>date in the course of</w:t>
      </w:r>
      <w:r w:rsidRPr="00D63FD0">
        <w:t xml:space="preserve"> a parliamentary election </w:t>
      </w:r>
      <w:r w:rsidR="00914408">
        <w:t>to affect</w:t>
      </w:r>
      <w:r>
        <w:t xml:space="preserve"> his/her re-election</w:t>
      </w:r>
      <w:r>
        <w:rPr>
          <w:rStyle w:val="FootnoteReference"/>
        </w:rPr>
        <w:footnoteReference w:id="11"/>
      </w:r>
      <w:r w:rsidRPr="00D63FD0">
        <w:t>.</w:t>
      </w:r>
      <w:r w:rsidR="00914408">
        <w:t xml:space="preserve"> The extent of the practice of this act is only confined</w:t>
      </w:r>
      <w:r>
        <w:t xml:space="preserve"> to false and misleading statements </w:t>
      </w:r>
      <w:r w:rsidR="00914408">
        <w:t>about the personal integrity</w:t>
      </w:r>
      <w:r>
        <w:t xml:space="preserve"> of a can</w:t>
      </w:r>
      <w:r w:rsidR="00914408">
        <w:t>didate.  It did not explicitly state any other type</w:t>
      </w:r>
      <w:r>
        <w:t xml:space="preserve"> of misleading state</w:t>
      </w:r>
      <w:r w:rsidR="00914408">
        <w:t>ments, including those related to statistics that are candidly</w:t>
      </w:r>
      <w:r>
        <w:t xml:space="preserve"> available to the public. The Representation of the People Act </w:t>
      </w:r>
      <w:r w:rsidR="00914408">
        <w:t>1983 is the recent statute that simulates</w:t>
      </w:r>
      <w:r>
        <w:t xml:space="preserve"> the above act. </w:t>
      </w:r>
      <w:r w:rsidR="00914408">
        <w:t>In other words</w:t>
      </w:r>
      <w:r>
        <w:t>,</w:t>
      </w:r>
      <w:r w:rsidR="00914408">
        <w:t xml:space="preserve"> parliament re-enacted a law for the second time and still failed</w:t>
      </w:r>
      <w:r>
        <w:t xml:space="preserve"> to esta</w:t>
      </w:r>
      <w:r w:rsidR="00914408">
        <w:t>blish a specific code to control</w:t>
      </w:r>
      <w:r>
        <w:t xml:space="preserve"> the co</w:t>
      </w:r>
      <w:r w:rsidR="00914408">
        <w:t>nduct that is now premised</w:t>
      </w:r>
      <w:r>
        <w:t xml:space="preserve"> an offense against Mr. Boris. </w:t>
      </w:r>
    </w:p>
    <w:p w14:paraId="6817D58B" w14:textId="77777777" w:rsidR="007A55DD" w:rsidRDefault="007A55DD" w:rsidP="00E85FEE">
      <w:pPr>
        <w:pStyle w:val="Default"/>
        <w:spacing w:line="480" w:lineRule="auto"/>
      </w:pPr>
    </w:p>
    <w:p w14:paraId="7568146D" w14:textId="77777777" w:rsidR="007A55DD" w:rsidRDefault="007A55DD" w:rsidP="00E85FEE">
      <w:pPr>
        <w:pStyle w:val="Default"/>
        <w:spacing w:line="480" w:lineRule="auto"/>
      </w:pPr>
    </w:p>
    <w:p w14:paraId="34E49F1F" w14:textId="77777777" w:rsidR="007A55DD" w:rsidRDefault="007A55DD" w:rsidP="007A55DD">
      <w:pPr>
        <w:pStyle w:val="Default"/>
        <w:spacing w:line="480" w:lineRule="auto"/>
        <w:jc w:val="center"/>
      </w:pPr>
    </w:p>
    <w:p w14:paraId="41B9361D" w14:textId="77777777" w:rsidR="007A55DD" w:rsidRDefault="007A55DD" w:rsidP="007A55DD">
      <w:pPr>
        <w:pStyle w:val="Default"/>
        <w:spacing w:line="480" w:lineRule="auto"/>
        <w:jc w:val="center"/>
      </w:pPr>
    </w:p>
    <w:p w14:paraId="795DC5CE" w14:textId="77777777" w:rsidR="007A55DD" w:rsidRDefault="007A55DD" w:rsidP="007A55DD">
      <w:pPr>
        <w:pStyle w:val="Default"/>
        <w:spacing w:line="480" w:lineRule="auto"/>
        <w:jc w:val="center"/>
      </w:pPr>
    </w:p>
    <w:p w14:paraId="7871D7EF" w14:textId="77777777" w:rsidR="007A55DD" w:rsidRPr="00D63FD0" w:rsidRDefault="002438FB" w:rsidP="007A55DD">
      <w:pPr>
        <w:pStyle w:val="Default"/>
        <w:spacing w:line="480" w:lineRule="auto"/>
        <w:jc w:val="center"/>
      </w:pPr>
      <w:r w:rsidRPr="00D63FD0">
        <w:lastRenderedPageBreak/>
        <w:t>Bibliography</w:t>
      </w:r>
    </w:p>
    <w:p w14:paraId="4275D459" w14:textId="77777777" w:rsidR="007A55DD" w:rsidRPr="00D63FD0" w:rsidRDefault="002438FB" w:rsidP="007A55DD">
      <w:pPr>
        <w:pStyle w:val="Default"/>
        <w:spacing w:line="480" w:lineRule="auto"/>
        <w:jc w:val="center"/>
      </w:pPr>
      <w:r w:rsidRPr="00D63FD0">
        <w:t>Primary sources</w:t>
      </w:r>
    </w:p>
    <w:p w14:paraId="3D604328" w14:textId="77777777" w:rsidR="007A55DD" w:rsidRPr="00D63FD0" w:rsidRDefault="002438FB" w:rsidP="007A55DD">
      <w:pPr>
        <w:pStyle w:val="Default"/>
        <w:spacing w:line="480" w:lineRule="auto"/>
      </w:pPr>
      <w:r w:rsidRPr="00D63FD0">
        <w:t>Cases</w:t>
      </w:r>
    </w:p>
    <w:p w14:paraId="30FD33CB" w14:textId="77777777" w:rsidR="007A55DD" w:rsidRPr="00D63FD0" w:rsidRDefault="002438FB" w:rsidP="007A55DD">
      <w:pPr>
        <w:pStyle w:val="Default"/>
        <w:spacing w:line="480" w:lineRule="auto"/>
      </w:pPr>
      <w:r w:rsidRPr="00D63FD0">
        <w:rPr>
          <w:i/>
          <w:iCs/>
        </w:rPr>
        <w:t xml:space="preserve">Attorney General’s Reference (No 3 of 2003) </w:t>
      </w:r>
      <w:r w:rsidRPr="00D63FD0">
        <w:t>[2005] QB 73 (“AG Ref 2003”).</w:t>
      </w:r>
    </w:p>
    <w:p w14:paraId="7CB8B98D" w14:textId="77777777" w:rsidR="007A55DD" w:rsidRPr="00D63FD0" w:rsidRDefault="002438FB" w:rsidP="007A55DD">
      <w:pPr>
        <w:pStyle w:val="Default"/>
        <w:spacing w:line="480" w:lineRule="auto"/>
      </w:pPr>
      <w:r w:rsidRPr="00D63FD0">
        <w:t>Ball V Johnson (2019)</w:t>
      </w:r>
    </w:p>
    <w:p w14:paraId="55B34903" w14:textId="77777777" w:rsidR="007A55DD" w:rsidRPr="00D63FD0" w:rsidRDefault="002438FB" w:rsidP="007A55DD">
      <w:pPr>
        <w:pStyle w:val="Default"/>
        <w:spacing w:line="480" w:lineRule="auto"/>
        <w:rPr>
          <w:rFonts w:eastAsia="Times New Roman"/>
        </w:rPr>
      </w:pPr>
      <w:r w:rsidRPr="00D63FD0">
        <w:rPr>
          <w:rFonts w:eastAsia="Times New Roman"/>
          <w:i/>
          <w:iCs/>
        </w:rPr>
        <w:t>Chapman</w:t>
      </w:r>
      <w:r w:rsidRPr="00D63FD0">
        <w:rPr>
          <w:rFonts w:eastAsia="Times New Roman"/>
        </w:rPr>
        <w:t xml:space="preserve"> [2015] 2 Cr App R 10</w:t>
      </w:r>
    </w:p>
    <w:p w14:paraId="5A04DC6B" w14:textId="77777777" w:rsidR="007A55DD" w:rsidRDefault="002438FB" w:rsidP="007A55DD">
      <w:pPr>
        <w:pStyle w:val="Default"/>
        <w:spacing w:line="480" w:lineRule="auto"/>
        <w:rPr>
          <w:color w:val="auto"/>
        </w:rPr>
      </w:pPr>
      <w:r w:rsidRPr="00D63FD0">
        <w:rPr>
          <w:i/>
          <w:iCs/>
          <w:color w:val="auto"/>
        </w:rPr>
        <w:t xml:space="preserve">Quach </w:t>
      </w:r>
      <w:r w:rsidRPr="00D63FD0">
        <w:rPr>
          <w:color w:val="auto"/>
        </w:rPr>
        <w:t>[2010] VSCA 106</w:t>
      </w:r>
    </w:p>
    <w:p w14:paraId="0788D708" w14:textId="77777777" w:rsidR="002D68D5" w:rsidRDefault="002D68D5" w:rsidP="007A55DD">
      <w:pPr>
        <w:pStyle w:val="Default"/>
        <w:spacing w:line="480" w:lineRule="auto"/>
        <w:rPr>
          <w:color w:val="auto"/>
        </w:rPr>
      </w:pPr>
      <w:r w:rsidRPr="00D63FD0">
        <w:t>(</w:t>
      </w:r>
      <w:r w:rsidRPr="00D63FD0">
        <w:rPr>
          <w:i/>
          <w:iCs/>
        </w:rPr>
        <w:t xml:space="preserve">R (DPP) v Sunderland MC </w:t>
      </w:r>
      <w:r w:rsidRPr="00D63FD0">
        <w:t>[2014] EWHC 613</w:t>
      </w:r>
    </w:p>
    <w:p w14:paraId="27ADFF70" w14:textId="77777777" w:rsidR="000214C9" w:rsidRDefault="000214C9" w:rsidP="007A55DD">
      <w:pPr>
        <w:pStyle w:val="Default"/>
        <w:spacing w:line="480" w:lineRule="auto"/>
      </w:pPr>
    </w:p>
    <w:p w14:paraId="592D21A2" w14:textId="77777777" w:rsidR="007A55DD" w:rsidRPr="00D63FD0" w:rsidRDefault="002438FB" w:rsidP="007A55DD">
      <w:pPr>
        <w:pStyle w:val="Default"/>
        <w:spacing w:line="480" w:lineRule="auto"/>
      </w:pPr>
      <w:r w:rsidRPr="00D63FD0">
        <w:t xml:space="preserve">Legislation </w:t>
      </w:r>
    </w:p>
    <w:p w14:paraId="33703BAA" w14:textId="77777777" w:rsidR="007A55DD" w:rsidRDefault="002438FB" w:rsidP="007A55DD">
      <w:pPr>
        <w:pStyle w:val="Default"/>
        <w:spacing w:line="480" w:lineRule="auto"/>
      </w:pPr>
      <w:r w:rsidRPr="00D63FD0">
        <w:t>Public Trustee Act 1906 - Legislation.gov.uk.</w:t>
      </w:r>
    </w:p>
    <w:p w14:paraId="73ADAD3D" w14:textId="77777777" w:rsidR="007A55DD" w:rsidRDefault="002438FB" w:rsidP="007A55DD">
      <w:pPr>
        <w:pStyle w:val="Default"/>
        <w:spacing w:line="480" w:lineRule="auto"/>
      </w:pPr>
      <w:r>
        <w:t>Illegal Practice Prevention Act 1965 -Legisltation.gov.uk</w:t>
      </w:r>
    </w:p>
    <w:p w14:paraId="68DBFE1C" w14:textId="77777777" w:rsidR="007A55DD" w:rsidRDefault="002438FB" w:rsidP="007A55DD">
      <w:pPr>
        <w:pStyle w:val="Default"/>
        <w:spacing w:line="480" w:lineRule="auto"/>
      </w:pPr>
      <w:r>
        <w:t>Representation of the People Act 1983 – Legislation.gov.uk</w:t>
      </w:r>
    </w:p>
    <w:p w14:paraId="5AB0693D" w14:textId="77777777" w:rsidR="007A55DD" w:rsidRDefault="007A55DD" w:rsidP="007A55DD">
      <w:pPr>
        <w:pStyle w:val="Default"/>
        <w:spacing w:line="480" w:lineRule="auto"/>
      </w:pPr>
    </w:p>
    <w:p w14:paraId="3CC226AC" w14:textId="77777777" w:rsidR="007A55DD" w:rsidRPr="00D63FD0" w:rsidRDefault="002438FB" w:rsidP="007A55DD">
      <w:pPr>
        <w:pStyle w:val="Default"/>
        <w:spacing w:line="480" w:lineRule="auto"/>
      </w:pPr>
      <w:r w:rsidRPr="00D63FD0">
        <w:t>Secondary Sources</w:t>
      </w:r>
    </w:p>
    <w:p w14:paraId="7F526255" w14:textId="77777777" w:rsidR="007A55DD" w:rsidRPr="00D63FD0" w:rsidRDefault="002438FB" w:rsidP="007A55DD">
      <w:pPr>
        <w:pStyle w:val="Default"/>
        <w:spacing w:line="480" w:lineRule="auto"/>
        <w:ind w:left="720" w:hanging="720"/>
      </w:pPr>
      <w:r w:rsidRPr="00D63FD0">
        <w:rPr>
          <w:color w:val="222222"/>
          <w:shd w:val="clear" w:color="auto" w:fill="FFFFFF"/>
        </w:rPr>
        <w:t>Baron, J. B. (2016). Irresolute Testators, Clear and Convincing Wills Law. </w:t>
      </w:r>
      <w:r w:rsidRPr="00D63FD0">
        <w:rPr>
          <w:i/>
          <w:iCs/>
          <w:color w:val="222222"/>
          <w:shd w:val="clear" w:color="auto" w:fill="FFFFFF"/>
        </w:rPr>
        <w:t>Wash. &amp; Lee L. Rev.</w:t>
      </w:r>
      <w:r w:rsidRPr="00D63FD0">
        <w:rPr>
          <w:color w:val="222222"/>
          <w:shd w:val="clear" w:color="auto" w:fill="FFFFFF"/>
        </w:rPr>
        <w:t>, </w:t>
      </w:r>
      <w:r w:rsidRPr="00D63FD0">
        <w:rPr>
          <w:i/>
          <w:iCs/>
          <w:color w:val="222222"/>
          <w:shd w:val="clear" w:color="auto" w:fill="FFFFFF"/>
        </w:rPr>
        <w:t>73</w:t>
      </w:r>
      <w:r w:rsidRPr="00D63FD0">
        <w:rPr>
          <w:color w:val="222222"/>
          <w:shd w:val="clear" w:color="auto" w:fill="FFFFFF"/>
        </w:rPr>
        <w:t>, 3.</w:t>
      </w:r>
    </w:p>
    <w:p w14:paraId="16934C85" w14:textId="77777777" w:rsidR="007A55DD" w:rsidRPr="00D63FD0" w:rsidRDefault="002438FB" w:rsidP="007A55DD">
      <w:pPr>
        <w:pStyle w:val="Default"/>
        <w:spacing w:line="480" w:lineRule="auto"/>
        <w:ind w:left="720" w:hanging="720"/>
      </w:pPr>
      <w:r w:rsidRPr="00D63FD0">
        <w:rPr>
          <w:color w:val="222222"/>
          <w:shd w:val="clear" w:color="auto" w:fill="FFFFFF"/>
        </w:rPr>
        <w:t>Closen, M. L. (1997). The Public Official Role of the Notary. </w:t>
      </w:r>
      <w:r w:rsidRPr="00D63FD0">
        <w:rPr>
          <w:i/>
          <w:iCs/>
          <w:color w:val="222222"/>
          <w:shd w:val="clear" w:color="auto" w:fill="FFFFFF"/>
        </w:rPr>
        <w:t>J. Marshall L. Rev.</w:t>
      </w:r>
      <w:r w:rsidRPr="00D63FD0">
        <w:rPr>
          <w:color w:val="222222"/>
          <w:shd w:val="clear" w:color="auto" w:fill="FFFFFF"/>
        </w:rPr>
        <w:t>, </w:t>
      </w:r>
      <w:r w:rsidRPr="00D63FD0">
        <w:rPr>
          <w:i/>
          <w:iCs/>
          <w:color w:val="222222"/>
          <w:shd w:val="clear" w:color="auto" w:fill="FFFFFF"/>
        </w:rPr>
        <w:t>31</w:t>
      </w:r>
      <w:r w:rsidRPr="00D63FD0">
        <w:rPr>
          <w:color w:val="222222"/>
          <w:shd w:val="clear" w:color="auto" w:fill="FFFFFF"/>
        </w:rPr>
        <w:t>, 651.</w:t>
      </w:r>
    </w:p>
    <w:p w14:paraId="1BC9DB4C" w14:textId="41387D74" w:rsidR="00FD0734" w:rsidRPr="00807194" w:rsidRDefault="002438FB" w:rsidP="00656FE6">
      <w:pPr>
        <w:pStyle w:val="Default"/>
        <w:spacing w:line="480" w:lineRule="auto"/>
        <w:ind w:left="720" w:hanging="720"/>
      </w:pPr>
      <w:r w:rsidRPr="00D63FD0">
        <w:rPr>
          <w:color w:val="222222"/>
          <w:shd w:val="clear" w:color="auto" w:fill="FFFFFF"/>
        </w:rPr>
        <w:t>HEIDI, M. H. (2016). The innocence of negligence. </w:t>
      </w:r>
      <w:r w:rsidRPr="00D63FD0">
        <w:rPr>
          <w:i/>
          <w:iCs/>
          <w:color w:val="222222"/>
          <w:shd w:val="clear" w:color="auto" w:fill="FFFFFF"/>
        </w:rPr>
        <w:t>Contemporary Readings in Law and Social Justice</w:t>
      </w:r>
      <w:r w:rsidRPr="00D63FD0">
        <w:rPr>
          <w:color w:val="222222"/>
          <w:shd w:val="clear" w:color="auto" w:fill="FFFFFF"/>
        </w:rPr>
        <w:t>, </w:t>
      </w:r>
      <w:r w:rsidRPr="00D63FD0">
        <w:rPr>
          <w:i/>
          <w:iCs/>
          <w:color w:val="222222"/>
          <w:shd w:val="clear" w:color="auto" w:fill="FFFFFF"/>
        </w:rPr>
        <w:t>8</w:t>
      </w:r>
      <w:r w:rsidRPr="00D63FD0">
        <w:rPr>
          <w:color w:val="222222"/>
          <w:shd w:val="clear" w:color="auto" w:fill="FFFFFF"/>
        </w:rPr>
        <w:t>(2), 48-95.</w:t>
      </w:r>
    </w:p>
    <w:sectPr w:rsidR="00FD0734" w:rsidRPr="00807194" w:rsidSect="00FD0734">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6BBA4D" w14:textId="77777777" w:rsidR="00A552D1" w:rsidRDefault="00A552D1" w:rsidP="009B43A1">
      <w:pPr>
        <w:spacing w:after="0" w:line="240" w:lineRule="auto"/>
      </w:pPr>
      <w:r>
        <w:separator/>
      </w:r>
    </w:p>
  </w:endnote>
  <w:endnote w:type="continuationSeparator" w:id="0">
    <w:p w14:paraId="4E1786F9" w14:textId="77777777" w:rsidR="00A552D1" w:rsidRDefault="00A552D1" w:rsidP="009B43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08272B" w14:textId="32A78B98" w:rsidR="00656FE6" w:rsidRDefault="00656FE6">
    <w:pPr>
      <w:pStyle w:val="Footer"/>
      <w:jc w:val="right"/>
    </w:pPr>
  </w:p>
  <w:p w14:paraId="6A30092D" w14:textId="77777777" w:rsidR="00656FE6" w:rsidRDefault="00656F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BF98FE" w14:textId="77777777" w:rsidR="00A552D1" w:rsidRDefault="00A552D1" w:rsidP="00B14A6D">
      <w:pPr>
        <w:spacing w:after="0" w:line="240" w:lineRule="auto"/>
      </w:pPr>
      <w:r>
        <w:separator/>
      </w:r>
    </w:p>
  </w:footnote>
  <w:footnote w:type="continuationSeparator" w:id="0">
    <w:p w14:paraId="262E8A9F" w14:textId="77777777" w:rsidR="00A552D1" w:rsidRDefault="00A552D1" w:rsidP="00B14A6D">
      <w:pPr>
        <w:spacing w:after="0" w:line="240" w:lineRule="auto"/>
      </w:pPr>
      <w:r>
        <w:continuationSeparator/>
      </w:r>
    </w:p>
  </w:footnote>
  <w:footnote w:id="1">
    <w:p w14:paraId="6CFA7345" w14:textId="77777777" w:rsidR="00785AC1" w:rsidRDefault="002438FB">
      <w:pPr>
        <w:pStyle w:val="FootnoteText"/>
      </w:pPr>
      <w:r>
        <w:rPr>
          <w:rStyle w:val="FootnoteReference"/>
        </w:rPr>
        <w:footnoteRef/>
      </w:r>
      <w:r>
        <w:t xml:space="preserve"> </w:t>
      </w:r>
      <w:r w:rsidRPr="00E50116">
        <w:t>Public Trustee Act 1906 - Legislation.gov.uk</w:t>
      </w:r>
    </w:p>
  </w:footnote>
  <w:footnote w:id="2">
    <w:p w14:paraId="5F250205" w14:textId="77777777" w:rsidR="00C22353" w:rsidRDefault="002438FB">
      <w:pPr>
        <w:pStyle w:val="FootnoteText"/>
      </w:pPr>
      <w:r>
        <w:rPr>
          <w:rStyle w:val="FootnoteReference"/>
        </w:rPr>
        <w:footnoteRef/>
      </w:r>
      <w:r>
        <w:t xml:space="preserve"> </w:t>
      </w:r>
      <w:r w:rsidRPr="00E50116">
        <w:t>Public Trustee Act 1906 - Legislation.gov.uk</w:t>
      </w:r>
    </w:p>
  </w:footnote>
  <w:footnote w:id="3">
    <w:p w14:paraId="29CB5FA5" w14:textId="77777777" w:rsidR="00C22353" w:rsidRDefault="002438FB" w:rsidP="00C22353">
      <w:pPr>
        <w:pStyle w:val="FootnoteText"/>
      </w:pPr>
      <w:r>
        <w:rPr>
          <w:rStyle w:val="FootnoteReference"/>
        </w:rPr>
        <w:footnoteRef/>
      </w:r>
      <w:r>
        <w:t xml:space="preserve"> </w:t>
      </w:r>
      <w:r w:rsidRPr="00E50116">
        <w:t>Public Trustee Act 1906 - Legislation.gov.uk</w:t>
      </w:r>
    </w:p>
  </w:footnote>
  <w:footnote w:id="4">
    <w:p w14:paraId="7A211102" w14:textId="77777777" w:rsidR="008944E3" w:rsidRDefault="002438FB" w:rsidP="008944E3">
      <w:pPr>
        <w:pStyle w:val="FootnoteText"/>
      </w:pPr>
      <w:r>
        <w:rPr>
          <w:rStyle w:val="FootnoteReference"/>
        </w:rPr>
        <w:footnoteRef/>
      </w:r>
      <w:r>
        <w:t xml:space="preserve"> </w:t>
      </w:r>
      <w:r>
        <w:rPr>
          <w:i/>
          <w:iCs/>
          <w:sz w:val="23"/>
          <w:szCs w:val="23"/>
        </w:rPr>
        <w:t xml:space="preserve">Attorney General’s Reference (No 3 of 2003) </w:t>
      </w:r>
      <w:r>
        <w:rPr>
          <w:sz w:val="23"/>
          <w:szCs w:val="23"/>
        </w:rPr>
        <w:t>[2005] QB 73 (“AG Ref 2003”).</w:t>
      </w:r>
    </w:p>
  </w:footnote>
  <w:footnote w:id="5">
    <w:p w14:paraId="61967249" w14:textId="77777777" w:rsidR="00146AD4" w:rsidRDefault="002438FB" w:rsidP="00146AD4">
      <w:pPr>
        <w:pStyle w:val="Default"/>
        <w:spacing w:line="480" w:lineRule="auto"/>
      </w:pPr>
      <w:r>
        <w:rPr>
          <w:rStyle w:val="FootnoteReference"/>
        </w:rPr>
        <w:footnoteRef/>
      </w:r>
      <w:r>
        <w:t xml:space="preserve"> </w:t>
      </w:r>
      <w:r>
        <w:rPr>
          <w:rFonts w:ascii="Arial" w:hAnsi="Arial" w:cs="Arial"/>
          <w:color w:val="222222"/>
          <w:sz w:val="20"/>
          <w:szCs w:val="20"/>
          <w:shd w:val="clear" w:color="auto" w:fill="FFFFFF"/>
        </w:rPr>
        <w:t>Closen, M. L. (1997). The Public Official Role of the Notary. </w:t>
      </w:r>
      <w:r>
        <w:rPr>
          <w:rFonts w:ascii="Arial" w:hAnsi="Arial" w:cs="Arial"/>
          <w:i/>
          <w:iCs/>
          <w:color w:val="222222"/>
          <w:sz w:val="20"/>
          <w:szCs w:val="20"/>
          <w:shd w:val="clear" w:color="auto" w:fill="FFFFFF"/>
        </w:rPr>
        <w:t>J. Marshall L. Rev.</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31</w:t>
      </w:r>
      <w:r>
        <w:rPr>
          <w:rFonts w:ascii="Arial" w:hAnsi="Arial" w:cs="Arial"/>
          <w:color w:val="222222"/>
          <w:sz w:val="20"/>
          <w:szCs w:val="20"/>
          <w:shd w:val="clear" w:color="auto" w:fill="FFFFFF"/>
        </w:rPr>
        <w:t>, 651.</w:t>
      </w:r>
    </w:p>
  </w:footnote>
  <w:footnote w:id="6">
    <w:p w14:paraId="63AB3E66" w14:textId="77777777" w:rsidR="00146AD4" w:rsidRDefault="002438FB" w:rsidP="00146AD4">
      <w:pPr>
        <w:pStyle w:val="FootnoteText"/>
      </w:pPr>
      <w:r>
        <w:rPr>
          <w:rStyle w:val="FootnoteReference"/>
        </w:rPr>
        <w:footnoteRef/>
      </w:r>
      <w:r>
        <w:t xml:space="preserve"> Ball V Johnson (2019)</w:t>
      </w:r>
    </w:p>
  </w:footnote>
  <w:footnote w:id="7">
    <w:p w14:paraId="3B85ADC4" w14:textId="77777777" w:rsidR="00146AD4" w:rsidRDefault="002438FB" w:rsidP="00146AD4">
      <w:pPr>
        <w:pStyle w:val="FootnoteText"/>
      </w:pPr>
      <w:r>
        <w:rPr>
          <w:rStyle w:val="FootnoteReference"/>
        </w:rPr>
        <w:footnoteRef/>
      </w:r>
      <w:r>
        <w:t xml:space="preserve"> </w:t>
      </w:r>
      <w:r>
        <w:rPr>
          <w:i/>
          <w:iCs/>
          <w:sz w:val="23"/>
          <w:szCs w:val="23"/>
        </w:rPr>
        <w:t xml:space="preserve">Quach </w:t>
      </w:r>
      <w:r>
        <w:rPr>
          <w:sz w:val="23"/>
          <w:szCs w:val="23"/>
        </w:rPr>
        <w:t>[2010] VSCA 106</w:t>
      </w:r>
    </w:p>
  </w:footnote>
  <w:footnote w:id="8">
    <w:p w14:paraId="12680276" w14:textId="77777777" w:rsidR="00146AD4" w:rsidRDefault="002438FB" w:rsidP="00146AD4">
      <w:pPr>
        <w:pStyle w:val="Default"/>
        <w:spacing w:line="480" w:lineRule="auto"/>
      </w:pPr>
      <w:r>
        <w:rPr>
          <w:rStyle w:val="FootnoteReference"/>
        </w:rPr>
        <w:footnoteRef/>
      </w:r>
      <w:r>
        <w:t xml:space="preserve"> </w:t>
      </w:r>
      <w:r>
        <w:rPr>
          <w:rFonts w:ascii="Arial" w:hAnsi="Arial" w:cs="Arial"/>
          <w:color w:val="222222"/>
          <w:sz w:val="20"/>
          <w:szCs w:val="20"/>
          <w:shd w:val="clear" w:color="auto" w:fill="FFFFFF"/>
        </w:rPr>
        <w:t>HEIDI, M. H. (2016). The innocence of negligence. 48-95.</w:t>
      </w:r>
    </w:p>
  </w:footnote>
  <w:footnote w:id="9">
    <w:p w14:paraId="3B331C91" w14:textId="77777777" w:rsidR="00146AD4" w:rsidRDefault="002438FB" w:rsidP="00146AD4">
      <w:pPr>
        <w:pStyle w:val="FootnoteText"/>
      </w:pPr>
      <w:r>
        <w:rPr>
          <w:rStyle w:val="FootnoteReference"/>
        </w:rPr>
        <w:footnoteRef/>
      </w:r>
      <w:r>
        <w:t xml:space="preserve"> </w:t>
      </w:r>
      <w:r w:rsidRPr="00DB707B">
        <w:rPr>
          <w:rFonts w:eastAsia="Times New Roman"/>
          <w:i/>
          <w:iCs/>
        </w:rPr>
        <w:t>Chapman</w:t>
      </w:r>
      <w:r w:rsidRPr="00DB707B">
        <w:rPr>
          <w:rFonts w:eastAsia="Times New Roman"/>
        </w:rPr>
        <w:t xml:space="preserve"> [2015] 2 Cr App R 10</w:t>
      </w:r>
    </w:p>
  </w:footnote>
  <w:footnote w:id="10">
    <w:p w14:paraId="32DBCD41" w14:textId="77777777" w:rsidR="00A011A1" w:rsidRDefault="002438FB" w:rsidP="00A011A1">
      <w:pPr>
        <w:pStyle w:val="Default"/>
        <w:spacing w:line="480" w:lineRule="auto"/>
      </w:pPr>
      <w:r>
        <w:rPr>
          <w:rStyle w:val="FootnoteReference"/>
        </w:rPr>
        <w:footnoteRef/>
      </w:r>
      <w:r>
        <w:t xml:space="preserve"> </w:t>
      </w:r>
      <w:r>
        <w:rPr>
          <w:rFonts w:ascii="Arial" w:hAnsi="Arial" w:cs="Arial"/>
          <w:color w:val="222222"/>
          <w:sz w:val="20"/>
          <w:szCs w:val="20"/>
          <w:shd w:val="clear" w:color="auto" w:fill="FFFFFF"/>
        </w:rPr>
        <w:t>Baron, J. B. (2016). Irresolute Testators, Clear and Convincing Wills Law. </w:t>
      </w:r>
      <w:r>
        <w:rPr>
          <w:rFonts w:ascii="Arial" w:hAnsi="Arial" w:cs="Arial"/>
          <w:i/>
          <w:iCs/>
          <w:color w:val="222222"/>
          <w:sz w:val="20"/>
          <w:szCs w:val="20"/>
          <w:shd w:val="clear" w:color="auto" w:fill="FFFFFF"/>
        </w:rPr>
        <w:t>Wash. &amp; Lee L. Rev.</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73</w:t>
      </w:r>
      <w:r>
        <w:rPr>
          <w:rFonts w:ascii="Arial" w:hAnsi="Arial" w:cs="Arial"/>
          <w:color w:val="222222"/>
          <w:sz w:val="20"/>
          <w:szCs w:val="20"/>
          <w:shd w:val="clear" w:color="auto" w:fill="FFFFFF"/>
        </w:rPr>
        <w:t>, 3.</w:t>
      </w:r>
    </w:p>
  </w:footnote>
  <w:footnote w:id="11">
    <w:p w14:paraId="355E03A4" w14:textId="77777777" w:rsidR="00E85FEE" w:rsidRDefault="002438FB" w:rsidP="00E85FEE">
      <w:pPr>
        <w:pStyle w:val="FootnoteText"/>
      </w:pPr>
      <w:r>
        <w:rPr>
          <w:rStyle w:val="FootnoteReference"/>
        </w:rPr>
        <w:footnoteRef/>
      </w:r>
      <w:r>
        <w:t xml:space="preserve"> Illegal practices prevention Act 1965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06010576"/>
      <w:docPartObj>
        <w:docPartGallery w:val="Page Numbers (Top of Page)"/>
        <w:docPartUnique/>
      </w:docPartObj>
    </w:sdtPr>
    <w:sdtEndPr>
      <w:rPr>
        <w:noProof/>
      </w:rPr>
    </w:sdtEndPr>
    <w:sdtContent>
      <w:p w14:paraId="6DAC74A3" w14:textId="284E0BE4" w:rsidR="00656FE6" w:rsidRPr="00656FE6" w:rsidRDefault="00656FE6">
        <w:pPr>
          <w:pStyle w:val="Header"/>
          <w:jc w:val="right"/>
          <w:rPr>
            <w:rFonts w:ascii="Times New Roman" w:hAnsi="Times New Roman" w:cs="Times New Roman"/>
            <w:sz w:val="24"/>
            <w:szCs w:val="24"/>
          </w:rPr>
        </w:pPr>
        <w:r w:rsidRPr="00656FE6">
          <w:rPr>
            <w:rFonts w:ascii="Times New Roman" w:hAnsi="Times New Roman" w:cs="Times New Roman"/>
            <w:sz w:val="24"/>
            <w:szCs w:val="24"/>
          </w:rPr>
          <w:t xml:space="preserve">Johnson V </w:t>
        </w:r>
        <w:proofErr w:type="spellStart"/>
        <w:r w:rsidRPr="00656FE6">
          <w:rPr>
            <w:rFonts w:ascii="Times New Roman" w:hAnsi="Times New Roman" w:cs="Times New Roman"/>
            <w:sz w:val="24"/>
            <w:szCs w:val="24"/>
          </w:rPr>
          <w:t>Westminister</w:t>
        </w:r>
        <w:proofErr w:type="spellEnd"/>
        <w:r w:rsidRPr="00656FE6">
          <w:rPr>
            <w:rFonts w:ascii="Times New Roman" w:hAnsi="Times New Roman" w:cs="Times New Roman"/>
            <w:sz w:val="24"/>
            <w:szCs w:val="24"/>
          </w:rPr>
          <w:t xml:space="preserve"> Magistrate Court</w:t>
        </w:r>
        <w:r w:rsidRPr="00656FE6">
          <w:rPr>
            <w:rFonts w:ascii="Times New Roman" w:hAnsi="Times New Roman" w:cs="Times New Roman"/>
            <w:sz w:val="24"/>
            <w:szCs w:val="24"/>
          </w:rPr>
          <w:t xml:space="preserve"> </w:t>
        </w:r>
        <w:r w:rsidRPr="00656FE6">
          <w:rPr>
            <w:rFonts w:ascii="Times New Roman" w:hAnsi="Times New Roman" w:cs="Times New Roman"/>
            <w:sz w:val="24"/>
            <w:szCs w:val="24"/>
          </w:rPr>
          <w:fldChar w:fldCharType="begin"/>
        </w:r>
        <w:r w:rsidRPr="00656FE6">
          <w:rPr>
            <w:rFonts w:ascii="Times New Roman" w:hAnsi="Times New Roman" w:cs="Times New Roman"/>
            <w:sz w:val="24"/>
            <w:szCs w:val="24"/>
          </w:rPr>
          <w:instrText xml:space="preserve"> PAGE   \* MERGEFORMAT </w:instrText>
        </w:r>
        <w:r w:rsidRPr="00656FE6">
          <w:rPr>
            <w:rFonts w:ascii="Times New Roman" w:hAnsi="Times New Roman" w:cs="Times New Roman"/>
            <w:sz w:val="24"/>
            <w:szCs w:val="24"/>
          </w:rPr>
          <w:fldChar w:fldCharType="separate"/>
        </w:r>
        <w:r w:rsidRPr="00656FE6">
          <w:rPr>
            <w:rFonts w:ascii="Times New Roman" w:hAnsi="Times New Roman" w:cs="Times New Roman"/>
            <w:noProof/>
            <w:sz w:val="24"/>
            <w:szCs w:val="24"/>
          </w:rPr>
          <w:t>2</w:t>
        </w:r>
        <w:r w:rsidRPr="00656FE6">
          <w:rPr>
            <w:rFonts w:ascii="Times New Roman" w:hAnsi="Times New Roman" w:cs="Times New Roman"/>
            <w:noProof/>
            <w:sz w:val="24"/>
            <w:szCs w:val="24"/>
          </w:rPr>
          <w:fldChar w:fldCharType="end"/>
        </w:r>
      </w:p>
    </w:sdtContent>
  </w:sdt>
  <w:p w14:paraId="5A9E6D74" w14:textId="77777777" w:rsidR="00656FE6" w:rsidRDefault="00656F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236634"/>
    <w:multiLevelType w:val="hybridMultilevel"/>
    <w:tmpl w:val="3B00E3F0"/>
    <w:lvl w:ilvl="0" w:tplc="C5C6DA4E">
      <w:start w:val="1"/>
      <w:numFmt w:val="lowerLetter"/>
      <w:lvlText w:val="%1)"/>
      <w:lvlJc w:val="left"/>
      <w:pPr>
        <w:ind w:left="720" w:hanging="360"/>
      </w:pPr>
    </w:lvl>
    <w:lvl w:ilvl="1" w:tplc="6756D36C" w:tentative="1">
      <w:start w:val="1"/>
      <w:numFmt w:val="lowerLetter"/>
      <w:lvlText w:val="%2."/>
      <w:lvlJc w:val="left"/>
      <w:pPr>
        <w:ind w:left="1440" w:hanging="360"/>
      </w:pPr>
    </w:lvl>
    <w:lvl w:ilvl="2" w:tplc="6CCE8430" w:tentative="1">
      <w:start w:val="1"/>
      <w:numFmt w:val="lowerRoman"/>
      <w:lvlText w:val="%3."/>
      <w:lvlJc w:val="right"/>
      <w:pPr>
        <w:ind w:left="2160" w:hanging="180"/>
      </w:pPr>
    </w:lvl>
    <w:lvl w:ilvl="3" w:tplc="BB067968" w:tentative="1">
      <w:start w:val="1"/>
      <w:numFmt w:val="decimal"/>
      <w:lvlText w:val="%4."/>
      <w:lvlJc w:val="left"/>
      <w:pPr>
        <w:ind w:left="2880" w:hanging="360"/>
      </w:pPr>
    </w:lvl>
    <w:lvl w:ilvl="4" w:tplc="18C8FA5A" w:tentative="1">
      <w:start w:val="1"/>
      <w:numFmt w:val="lowerLetter"/>
      <w:lvlText w:val="%5."/>
      <w:lvlJc w:val="left"/>
      <w:pPr>
        <w:ind w:left="3600" w:hanging="360"/>
      </w:pPr>
    </w:lvl>
    <w:lvl w:ilvl="5" w:tplc="148A54F6" w:tentative="1">
      <w:start w:val="1"/>
      <w:numFmt w:val="lowerRoman"/>
      <w:lvlText w:val="%6."/>
      <w:lvlJc w:val="right"/>
      <w:pPr>
        <w:ind w:left="4320" w:hanging="180"/>
      </w:pPr>
    </w:lvl>
    <w:lvl w:ilvl="6" w:tplc="C8E6D65A" w:tentative="1">
      <w:start w:val="1"/>
      <w:numFmt w:val="decimal"/>
      <w:lvlText w:val="%7."/>
      <w:lvlJc w:val="left"/>
      <w:pPr>
        <w:ind w:left="5040" w:hanging="360"/>
      </w:pPr>
    </w:lvl>
    <w:lvl w:ilvl="7" w:tplc="E1980762" w:tentative="1">
      <w:start w:val="1"/>
      <w:numFmt w:val="lowerLetter"/>
      <w:lvlText w:val="%8."/>
      <w:lvlJc w:val="left"/>
      <w:pPr>
        <w:ind w:left="5760" w:hanging="360"/>
      </w:pPr>
    </w:lvl>
    <w:lvl w:ilvl="8" w:tplc="B0AC35F2" w:tentative="1">
      <w:start w:val="1"/>
      <w:numFmt w:val="lowerRoman"/>
      <w:lvlText w:val="%9."/>
      <w:lvlJc w:val="right"/>
      <w:pPr>
        <w:ind w:left="6480" w:hanging="180"/>
      </w:pPr>
    </w:lvl>
  </w:abstractNum>
  <w:abstractNum w:abstractNumId="1" w15:restartNumberingAfterBreak="0">
    <w:nsid w:val="11D55BAC"/>
    <w:multiLevelType w:val="hybridMultilevel"/>
    <w:tmpl w:val="77F44CC2"/>
    <w:lvl w:ilvl="0" w:tplc="2ADA452E">
      <w:start w:val="1"/>
      <w:numFmt w:val="decimal"/>
      <w:lvlText w:val="%1."/>
      <w:lvlJc w:val="left"/>
      <w:pPr>
        <w:ind w:left="720" w:hanging="360"/>
      </w:pPr>
    </w:lvl>
    <w:lvl w:ilvl="1" w:tplc="727A2C0C" w:tentative="1">
      <w:start w:val="1"/>
      <w:numFmt w:val="lowerLetter"/>
      <w:lvlText w:val="%2."/>
      <w:lvlJc w:val="left"/>
      <w:pPr>
        <w:ind w:left="1440" w:hanging="360"/>
      </w:pPr>
    </w:lvl>
    <w:lvl w:ilvl="2" w:tplc="2BA49916" w:tentative="1">
      <w:start w:val="1"/>
      <w:numFmt w:val="lowerRoman"/>
      <w:lvlText w:val="%3."/>
      <w:lvlJc w:val="right"/>
      <w:pPr>
        <w:ind w:left="2160" w:hanging="180"/>
      </w:pPr>
    </w:lvl>
    <w:lvl w:ilvl="3" w:tplc="615A239C" w:tentative="1">
      <w:start w:val="1"/>
      <w:numFmt w:val="decimal"/>
      <w:lvlText w:val="%4."/>
      <w:lvlJc w:val="left"/>
      <w:pPr>
        <w:ind w:left="2880" w:hanging="360"/>
      </w:pPr>
    </w:lvl>
    <w:lvl w:ilvl="4" w:tplc="731EB35E" w:tentative="1">
      <w:start w:val="1"/>
      <w:numFmt w:val="lowerLetter"/>
      <w:lvlText w:val="%5."/>
      <w:lvlJc w:val="left"/>
      <w:pPr>
        <w:ind w:left="3600" w:hanging="360"/>
      </w:pPr>
    </w:lvl>
    <w:lvl w:ilvl="5" w:tplc="C5249944" w:tentative="1">
      <w:start w:val="1"/>
      <w:numFmt w:val="lowerRoman"/>
      <w:lvlText w:val="%6."/>
      <w:lvlJc w:val="right"/>
      <w:pPr>
        <w:ind w:left="4320" w:hanging="180"/>
      </w:pPr>
    </w:lvl>
    <w:lvl w:ilvl="6" w:tplc="335CAFFC" w:tentative="1">
      <w:start w:val="1"/>
      <w:numFmt w:val="decimal"/>
      <w:lvlText w:val="%7."/>
      <w:lvlJc w:val="left"/>
      <w:pPr>
        <w:ind w:left="5040" w:hanging="360"/>
      </w:pPr>
    </w:lvl>
    <w:lvl w:ilvl="7" w:tplc="D98C54A8" w:tentative="1">
      <w:start w:val="1"/>
      <w:numFmt w:val="lowerLetter"/>
      <w:lvlText w:val="%8."/>
      <w:lvlJc w:val="left"/>
      <w:pPr>
        <w:ind w:left="5760" w:hanging="360"/>
      </w:pPr>
    </w:lvl>
    <w:lvl w:ilvl="8" w:tplc="0D28185C" w:tentative="1">
      <w:start w:val="1"/>
      <w:numFmt w:val="lowerRoman"/>
      <w:lvlText w:val="%9."/>
      <w:lvlJc w:val="right"/>
      <w:pPr>
        <w:ind w:left="6480" w:hanging="180"/>
      </w:pPr>
    </w:lvl>
  </w:abstractNum>
  <w:abstractNum w:abstractNumId="2" w15:restartNumberingAfterBreak="0">
    <w:nsid w:val="1FC90F02"/>
    <w:multiLevelType w:val="hybridMultilevel"/>
    <w:tmpl w:val="1FC4045C"/>
    <w:lvl w:ilvl="0" w:tplc="98AA29A6">
      <w:start w:val="1"/>
      <w:numFmt w:val="lowerRoman"/>
      <w:lvlText w:val="%1."/>
      <w:lvlJc w:val="right"/>
      <w:pPr>
        <w:ind w:left="2520" w:hanging="360"/>
      </w:pPr>
    </w:lvl>
    <w:lvl w:ilvl="1" w:tplc="12D4A9E4">
      <w:start w:val="1"/>
      <w:numFmt w:val="lowerLetter"/>
      <w:lvlText w:val="%2."/>
      <w:lvlJc w:val="left"/>
      <w:pPr>
        <w:ind w:left="3240" w:hanging="360"/>
      </w:pPr>
    </w:lvl>
    <w:lvl w:ilvl="2" w:tplc="092E8D14">
      <w:start w:val="1"/>
      <w:numFmt w:val="lowerRoman"/>
      <w:lvlText w:val="%3."/>
      <w:lvlJc w:val="right"/>
      <w:pPr>
        <w:ind w:left="3960" w:hanging="180"/>
      </w:pPr>
    </w:lvl>
    <w:lvl w:ilvl="3" w:tplc="9C8AC2A8" w:tentative="1">
      <w:start w:val="1"/>
      <w:numFmt w:val="decimal"/>
      <w:lvlText w:val="%4."/>
      <w:lvlJc w:val="left"/>
      <w:pPr>
        <w:ind w:left="4680" w:hanging="360"/>
      </w:pPr>
    </w:lvl>
    <w:lvl w:ilvl="4" w:tplc="27A423B4" w:tentative="1">
      <w:start w:val="1"/>
      <w:numFmt w:val="lowerLetter"/>
      <w:lvlText w:val="%5."/>
      <w:lvlJc w:val="left"/>
      <w:pPr>
        <w:ind w:left="5400" w:hanging="360"/>
      </w:pPr>
    </w:lvl>
    <w:lvl w:ilvl="5" w:tplc="157EF574" w:tentative="1">
      <w:start w:val="1"/>
      <w:numFmt w:val="lowerRoman"/>
      <w:lvlText w:val="%6."/>
      <w:lvlJc w:val="right"/>
      <w:pPr>
        <w:ind w:left="6120" w:hanging="180"/>
      </w:pPr>
    </w:lvl>
    <w:lvl w:ilvl="6" w:tplc="FBFCB0BA" w:tentative="1">
      <w:start w:val="1"/>
      <w:numFmt w:val="decimal"/>
      <w:lvlText w:val="%7."/>
      <w:lvlJc w:val="left"/>
      <w:pPr>
        <w:ind w:left="6840" w:hanging="360"/>
      </w:pPr>
    </w:lvl>
    <w:lvl w:ilvl="7" w:tplc="57E68BEE" w:tentative="1">
      <w:start w:val="1"/>
      <w:numFmt w:val="lowerLetter"/>
      <w:lvlText w:val="%8."/>
      <w:lvlJc w:val="left"/>
      <w:pPr>
        <w:ind w:left="7560" w:hanging="360"/>
      </w:pPr>
    </w:lvl>
    <w:lvl w:ilvl="8" w:tplc="AC2EE11C" w:tentative="1">
      <w:start w:val="1"/>
      <w:numFmt w:val="lowerRoman"/>
      <w:lvlText w:val="%9."/>
      <w:lvlJc w:val="right"/>
      <w:pPr>
        <w:ind w:left="8280" w:hanging="180"/>
      </w:pPr>
    </w:lvl>
  </w:abstractNum>
  <w:abstractNum w:abstractNumId="3" w15:restartNumberingAfterBreak="0">
    <w:nsid w:val="27466701"/>
    <w:multiLevelType w:val="hybridMultilevel"/>
    <w:tmpl w:val="AB42B31A"/>
    <w:lvl w:ilvl="0" w:tplc="FA1A4A30">
      <w:start w:val="1"/>
      <w:numFmt w:val="lowerRoman"/>
      <w:lvlText w:val="%1."/>
      <w:lvlJc w:val="left"/>
      <w:pPr>
        <w:ind w:left="1080" w:hanging="720"/>
      </w:pPr>
      <w:rPr>
        <w:rFonts w:hint="default"/>
      </w:rPr>
    </w:lvl>
    <w:lvl w:ilvl="1" w:tplc="8188D47A" w:tentative="1">
      <w:start w:val="1"/>
      <w:numFmt w:val="lowerLetter"/>
      <w:lvlText w:val="%2."/>
      <w:lvlJc w:val="left"/>
      <w:pPr>
        <w:ind w:left="1440" w:hanging="360"/>
      </w:pPr>
    </w:lvl>
    <w:lvl w:ilvl="2" w:tplc="F52424C8" w:tentative="1">
      <w:start w:val="1"/>
      <w:numFmt w:val="lowerRoman"/>
      <w:lvlText w:val="%3."/>
      <w:lvlJc w:val="right"/>
      <w:pPr>
        <w:ind w:left="2160" w:hanging="180"/>
      </w:pPr>
    </w:lvl>
    <w:lvl w:ilvl="3" w:tplc="915C1B28" w:tentative="1">
      <w:start w:val="1"/>
      <w:numFmt w:val="decimal"/>
      <w:lvlText w:val="%4."/>
      <w:lvlJc w:val="left"/>
      <w:pPr>
        <w:ind w:left="2880" w:hanging="360"/>
      </w:pPr>
    </w:lvl>
    <w:lvl w:ilvl="4" w:tplc="213077F8" w:tentative="1">
      <w:start w:val="1"/>
      <w:numFmt w:val="lowerLetter"/>
      <w:lvlText w:val="%5."/>
      <w:lvlJc w:val="left"/>
      <w:pPr>
        <w:ind w:left="3600" w:hanging="360"/>
      </w:pPr>
    </w:lvl>
    <w:lvl w:ilvl="5" w:tplc="E6CA6860" w:tentative="1">
      <w:start w:val="1"/>
      <w:numFmt w:val="lowerRoman"/>
      <w:lvlText w:val="%6."/>
      <w:lvlJc w:val="right"/>
      <w:pPr>
        <w:ind w:left="4320" w:hanging="180"/>
      </w:pPr>
    </w:lvl>
    <w:lvl w:ilvl="6" w:tplc="9A52BF50" w:tentative="1">
      <w:start w:val="1"/>
      <w:numFmt w:val="decimal"/>
      <w:lvlText w:val="%7."/>
      <w:lvlJc w:val="left"/>
      <w:pPr>
        <w:ind w:left="5040" w:hanging="360"/>
      </w:pPr>
    </w:lvl>
    <w:lvl w:ilvl="7" w:tplc="0E449D36" w:tentative="1">
      <w:start w:val="1"/>
      <w:numFmt w:val="lowerLetter"/>
      <w:lvlText w:val="%8."/>
      <w:lvlJc w:val="left"/>
      <w:pPr>
        <w:ind w:left="5760" w:hanging="360"/>
      </w:pPr>
    </w:lvl>
    <w:lvl w:ilvl="8" w:tplc="C2B67340"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648"/>
    <w:rsid w:val="000214C9"/>
    <w:rsid w:val="00064AEA"/>
    <w:rsid w:val="000B47C1"/>
    <w:rsid w:val="000E5B12"/>
    <w:rsid w:val="000F7CE5"/>
    <w:rsid w:val="00146AD4"/>
    <w:rsid w:val="0017163A"/>
    <w:rsid w:val="001C2648"/>
    <w:rsid w:val="002174C0"/>
    <w:rsid w:val="002438FB"/>
    <w:rsid w:val="00266E38"/>
    <w:rsid w:val="0028464E"/>
    <w:rsid w:val="002D68D5"/>
    <w:rsid w:val="002F57AA"/>
    <w:rsid w:val="00315EF6"/>
    <w:rsid w:val="00333FBC"/>
    <w:rsid w:val="0036095D"/>
    <w:rsid w:val="00494FE8"/>
    <w:rsid w:val="004F0094"/>
    <w:rsid w:val="004F14A9"/>
    <w:rsid w:val="00524606"/>
    <w:rsid w:val="005523D4"/>
    <w:rsid w:val="00556B2D"/>
    <w:rsid w:val="00561D51"/>
    <w:rsid w:val="005623C7"/>
    <w:rsid w:val="005A00C4"/>
    <w:rsid w:val="005B4CB1"/>
    <w:rsid w:val="00644242"/>
    <w:rsid w:val="00656FE6"/>
    <w:rsid w:val="006D6902"/>
    <w:rsid w:val="006D7F5A"/>
    <w:rsid w:val="006F4298"/>
    <w:rsid w:val="00763A78"/>
    <w:rsid w:val="00785AC1"/>
    <w:rsid w:val="007A55DD"/>
    <w:rsid w:val="00807194"/>
    <w:rsid w:val="00846354"/>
    <w:rsid w:val="00853F44"/>
    <w:rsid w:val="00857EDD"/>
    <w:rsid w:val="008944E3"/>
    <w:rsid w:val="008D1CD6"/>
    <w:rsid w:val="008F2083"/>
    <w:rsid w:val="00914408"/>
    <w:rsid w:val="009317B5"/>
    <w:rsid w:val="009355C0"/>
    <w:rsid w:val="009369AC"/>
    <w:rsid w:val="00972C7B"/>
    <w:rsid w:val="00976F92"/>
    <w:rsid w:val="009B43A1"/>
    <w:rsid w:val="009D1562"/>
    <w:rsid w:val="00A011A1"/>
    <w:rsid w:val="00A552D1"/>
    <w:rsid w:val="00AA3856"/>
    <w:rsid w:val="00AA4AAA"/>
    <w:rsid w:val="00B14A6D"/>
    <w:rsid w:val="00B17067"/>
    <w:rsid w:val="00B52FD7"/>
    <w:rsid w:val="00B90890"/>
    <w:rsid w:val="00B93047"/>
    <w:rsid w:val="00BC0C1A"/>
    <w:rsid w:val="00BF50C2"/>
    <w:rsid w:val="00C22353"/>
    <w:rsid w:val="00C25237"/>
    <w:rsid w:val="00CE6B0B"/>
    <w:rsid w:val="00D42831"/>
    <w:rsid w:val="00D63FD0"/>
    <w:rsid w:val="00D818A2"/>
    <w:rsid w:val="00D91149"/>
    <w:rsid w:val="00DA078C"/>
    <w:rsid w:val="00DB4FC6"/>
    <w:rsid w:val="00DB707B"/>
    <w:rsid w:val="00DF5122"/>
    <w:rsid w:val="00E251E1"/>
    <w:rsid w:val="00E3044D"/>
    <w:rsid w:val="00E33F56"/>
    <w:rsid w:val="00E45CAE"/>
    <w:rsid w:val="00E50116"/>
    <w:rsid w:val="00E84276"/>
    <w:rsid w:val="00E85FEE"/>
    <w:rsid w:val="00ED798E"/>
    <w:rsid w:val="00EF61DF"/>
    <w:rsid w:val="00F07D2A"/>
    <w:rsid w:val="00F35637"/>
    <w:rsid w:val="00F96D57"/>
    <w:rsid w:val="00FD0734"/>
    <w:rsid w:val="00FD0974"/>
    <w:rsid w:val="00FE7D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09B58"/>
  <w15:docId w15:val="{9A749324-83AE-4359-8FD2-D549222A7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61D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B14A6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14A6D"/>
    <w:rPr>
      <w:sz w:val="20"/>
      <w:szCs w:val="20"/>
    </w:rPr>
  </w:style>
  <w:style w:type="character" w:styleId="FootnoteReference">
    <w:name w:val="footnote reference"/>
    <w:basedOn w:val="DefaultParagraphFont"/>
    <w:uiPriority w:val="99"/>
    <w:semiHidden/>
    <w:unhideWhenUsed/>
    <w:rsid w:val="00B14A6D"/>
    <w:rPr>
      <w:vertAlign w:val="superscript"/>
    </w:rPr>
  </w:style>
  <w:style w:type="paragraph" w:styleId="ListParagraph">
    <w:name w:val="List Paragraph"/>
    <w:basedOn w:val="Normal"/>
    <w:uiPriority w:val="34"/>
    <w:qFormat/>
    <w:rsid w:val="00B14A6D"/>
    <w:pPr>
      <w:spacing w:after="160" w:line="259" w:lineRule="auto"/>
      <w:ind w:left="720"/>
      <w:contextualSpacing/>
    </w:pPr>
  </w:style>
  <w:style w:type="character" w:styleId="Strong">
    <w:name w:val="Strong"/>
    <w:basedOn w:val="DefaultParagraphFont"/>
    <w:uiPriority w:val="22"/>
    <w:qFormat/>
    <w:rsid w:val="00B14A6D"/>
    <w:rPr>
      <w:b/>
      <w:bCs/>
    </w:rPr>
  </w:style>
  <w:style w:type="paragraph" w:styleId="NormalWeb">
    <w:name w:val="Normal (Web)"/>
    <w:basedOn w:val="Normal"/>
    <w:uiPriority w:val="99"/>
    <w:semiHidden/>
    <w:unhideWhenUsed/>
    <w:rsid w:val="00DF512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F5122"/>
    <w:rPr>
      <w:i/>
      <w:iCs/>
    </w:rPr>
  </w:style>
  <w:style w:type="paragraph" w:customStyle="1" w:styleId="Default">
    <w:name w:val="Default"/>
    <w:rsid w:val="00A011A1"/>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st">
    <w:name w:val="st"/>
    <w:basedOn w:val="DefaultParagraphFont"/>
    <w:rsid w:val="000214C9"/>
  </w:style>
  <w:style w:type="paragraph" w:styleId="Header">
    <w:name w:val="header"/>
    <w:basedOn w:val="Normal"/>
    <w:link w:val="HeaderChar"/>
    <w:uiPriority w:val="99"/>
    <w:unhideWhenUsed/>
    <w:rsid w:val="00656F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6FE6"/>
  </w:style>
  <w:style w:type="paragraph" w:styleId="Footer">
    <w:name w:val="footer"/>
    <w:basedOn w:val="Normal"/>
    <w:link w:val="FooterChar"/>
    <w:uiPriority w:val="99"/>
    <w:unhideWhenUsed/>
    <w:rsid w:val="00656F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6F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F7908D2-A963-4DC8-BB84-992873B212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1719</Words>
  <Characters>9799</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Tola</dc:creator>
  <cp:lastModifiedBy>MM</cp:lastModifiedBy>
  <cp:revision>3</cp:revision>
  <dcterms:created xsi:type="dcterms:W3CDTF">2020-04-28T14:46:00Z</dcterms:created>
  <dcterms:modified xsi:type="dcterms:W3CDTF">2020-04-28T14:47:00Z</dcterms:modified>
</cp:coreProperties>
</file>